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D4F" w:rsidRPr="00B77D4F" w:rsidRDefault="00B77D4F" w:rsidP="00B77D4F">
      <w:pPr>
        <w:ind w:right="-1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ANEXO I – TERMO DE REFERÊNCIA</w:t>
      </w:r>
    </w:p>
    <w:p w:rsidR="0089416B" w:rsidRPr="00B77D4F" w:rsidRDefault="0089416B" w:rsidP="00B77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TERMO DE REFERÊNCIA</w:t>
      </w:r>
    </w:p>
    <w:p w:rsidR="0089416B" w:rsidRPr="00B77D4F" w:rsidRDefault="0089416B" w:rsidP="00B77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1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(AQUISIÇÃO DE BENS PROCESSADA PELO SRP)</w:t>
      </w:r>
    </w:p>
    <w:p w:rsidR="0089416B" w:rsidRPr="00B77D4F" w:rsidRDefault="0089416B" w:rsidP="0089416B">
      <w:pPr>
        <w:pStyle w:val="Corpodetexto"/>
        <w:ind w:right="-1"/>
        <w:rPr>
          <w:rFonts w:ascii="Bookman Old Style" w:hAnsi="Bookman Old Style"/>
          <w:b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PROCESSO ADMINISTRATIVO Nº: 00</w:t>
      </w:r>
      <w:r w:rsidRPr="00B77D4F">
        <w:rPr>
          <w:rFonts w:ascii="Bookman Old Style" w:hAnsi="Bookman Old Style"/>
          <w:b/>
          <w:sz w:val="24"/>
          <w:szCs w:val="24"/>
          <w:lang w:val="pt-BR"/>
        </w:rPr>
        <w:t>7</w:t>
      </w:r>
      <w:r w:rsidRPr="00B77D4F">
        <w:rPr>
          <w:rFonts w:ascii="Bookman Old Style" w:hAnsi="Bookman Old Style"/>
          <w:b/>
          <w:sz w:val="24"/>
          <w:szCs w:val="24"/>
        </w:rPr>
        <w:t>/2024</w:t>
      </w:r>
    </w:p>
    <w:p w:rsidR="0089416B" w:rsidRPr="00B77D4F" w:rsidRDefault="0089416B" w:rsidP="0089416B">
      <w:pPr>
        <w:pStyle w:val="Corpodetexto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</w:rPr>
        <w:t>O presente instrumento foi formalizado com base nos levantamentos efetivados nos estudos técnicos preliminares, utilizando como parâmetro o relatório onde constam as justificativas para as presentes inserções e a materialização do planejamento.</w:t>
      </w:r>
    </w:p>
    <w:p w:rsidR="0089416B" w:rsidRPr="00B77D4F" w:rsidRDefault="0089416B" w:rsidP="0089416B">
      <w:pPr>
        <w:pStyle w:val="Corpodetexto"/>
        <w:ind w:right="-1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</w:rPr>
        <w:t xml:space="preserve">Somado às presentes exigências, deverão ser observados pelos interessados em formalizar propostas, todas as exigências que estarão contidas no Edital. </w:t>
      </w:r>
    </w:p>
    <w:p w:rsidR="0089416B" w:rsidRPr="00B77D4F" w:rsidRDefault="0089416B" w:rsidP="0089416B">
      <w:pPr>
        <w:pStyle w:val="Corpodetexto"/>
        <w:ind w:right="-1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89416B">
      <w:pPr>
        <w:pStyle w:val="PargrafodaLista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right="-1" w:hanging="11"/>
        <w:contextualSpacing w:val="0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DO OBJETO</w:t>
      </w:r>
    </w:p>
    <w:p w:rsidR="0089416B" w:rsidRPr="00B77D4F" w:rsidRDefault="0089416B" w:rsidP="0089416B">
      <w:pPr>
        <w:pStyle w:val="PargrafodaLista"/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ind w:left="0" w:right="-1" w:hanging="11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>Registro de Preços para futura e eventual aquisição de materiais e equipamentos odontológicos em atendimento a Secretaria Municipal de Saúde, conforme condições e exigências estabelecidas no item 1.2.</w:t>
      </w:r>
    </w:p>
    <w:p w:rsidR="0089416B" w:rsidRPr="00B77D4F" w:rsidRDefault="0089416B" w:rsidP="0089416B">
      <w:pPr>
        <w:pStyle w:val="PargrafodaLista"/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ind w:left="0" w:right="-1" w:hanging="11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>Definição/Detalhamento do objeto, conforme especificações técnicas, condições, quantidades e exigências estabelecidas neste instrumento, abaixo discriminadas:</w:t>
      </w:r>
    </w:p>
    <w:tbl>
      <w:tblPr>
        <w:tblW w:w="0" w:type="auto"/>
        <w:tblInd w:w="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CellMar>
          <w:top w:w="100" w:type="dxa"/>
          <w:left w:w="0" w:type="dxa"/>
          <w:right w:w="50" w:type="dxa"/>
        </w:tblCellMar>
        <w:tblLook w:val="04A0" w:firstRow="1" w:lastRow="0" w:firstColumn="1" w:lastColumn="0" w:noHBand="0" w:noVBand="1"/>
      </w:tblPr>
      <w:tblGrid>
        <w:gridCol w:w="849"/>
        <w:gridCol w:w="1134"/>
        <w:gridCol w:w="3260"/>
        <w:gridCol w:w="992"/>
        <w:gridCol w:w="567"/>
        <w:gridCol w:w="1134"/>
        <w:gridCol w:w="1417"/>
      </w:tblGrid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N° Item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Cód.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proofErr w:type="spellStart"/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Qtd</w:t>
            </w:r>
            <w:proofErr w:type="spellEnd"/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417" w:type="dxa"/>
            <w:shd w:val="clear" w:color="auto" w:fill="auto"/>
          </w:tcPr>
          <w:p w:rsidR="00B5561D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b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 xml:space="preserve">Valor </w:t>
            </w:r>
          </w:p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Total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ACIDO PARA RESINA C/03;  -ACIDO FOSFÓRICO A 37% EMBALAGEM COM 3 SERINGAS 2,5 MLCADA -ACIDO PARA RESINA C/03 UNIDADES    -3 PONTEIRAS PARA APLICAÇÃO COR AZUL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PC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17,3967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1.043,8020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ADESIVO FOTOPOLIMERIZADO. SOLVENTE À BASE DE ÁGUA E ÁLCOOL: NÃO EVAPORA COMO A ACETONA, O QUE FAZ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CO;   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ADESIVO FOTOPOLIMERIZADO.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SOLVENTE À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BASE DE ÁGUA E ÁLCOOL: NÃO EVAPORA COMO A ACETONA, O QUE FAZ COM QUE O ADESIVO APRESENTE A MESMA PERFORMANCE DA PRIMEIRA ATÉ A ÚLTIMA GOTA DO FRASCO. CONTÉM PARTÍCULA DE CARGA DE 5NM QUE PROPORCIONA UMA EXCELENTE ADESÃO À DENTINA E AO ESMALTE. FRASCO COM 6g.  INDICADO PARA UNIÃO DE RESINAS COMPOSTAS FOTOPOLIMERIZÁVEIS À ESTRUTURA DENTAL, REPARO EM PORCELANA E RESINA, CIMENTAÇÃO DE RESTAURAÇÕES INDIRETAS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224,1667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10.087,5015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0003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AGULHA GENGIVAL CURTA 22X0,3 - 30G;  AGULHA GENGIVAL CURTA 22X0,3 - 30G - CAIXA COM 100 UNIDADES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66,3100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1.989,3000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ALGODAO ROLETE nº2;  ROLO DENTAL DE ALGODÃO Nº2 PARA USO ODONTOLÓGICO PACOTE COM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COM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100 UNIDADES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PC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11,6767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2.335,3400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ANESTESICO LOCAL, CLORIDRATO DE   LIDOCAINA  2% COM   EPINEFRINA (VASO CONSTRITOR)1:100000 C/ 50 TUBETES DE 1,8ml.;   ANESTESICO LOCAL INJETÁVEL COM CADA ML CONTENDO 20MG DE CLORIDRATO  DE LIDOCAINA (36MG/CARPULE),10 MICROGRAMAS DE EPINEFRINA (18MG/CARPULE),ENVASADO EM TUBETES DE VIDRO COM EMBULOS SILICONIZADOS - CAIXA COM 50 UNIDADES   DE 1,8 ML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243,2367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20.675,1195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ANESTÉSICO MEPIVACAÍNA 2% EPINEFRINA 1:100.000;  CAIXA C/ 50 TULETES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306,2167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4.593,2505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ANESTESICO MEPIVACAINA 3% SEM VASO CONSTRITOR;  ANESTÉSICO MEPIVACAINA 3% SEM VASO CONSTRITOR COM 50 TUBETES DE 1,8 ML CADA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169,9267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2.718,8272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ANESTESICO TÓPICO BENZOCAINA;  ANESTESICO TÓPICO PARA USO ODONTOLOGICO POTE COM 12G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27,7833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1.389,1650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0009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BICARBONATO DE SÓDIO;  BICARBONATO DE SÓDIO EMBALAGEM COM 15 SACHES DE 40 G CADA PÓ PARA PROFILAXIA E JATEAMENTO DENTAL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87,1333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5.227,9980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3200  FF;  BROCA 3200  FF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16,2467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406,1675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ALTA ROTAÇÃO 1111;  BROCA ALTA ROTAÇÃO 1111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21,0933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316,3995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DE BAIXA ROTAÇÃO N. 02; BROCA DE BAIXA ROTAÇÃO N. 02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27,9467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838,4010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DE BAIXA ROTAÇÃO N. 04;  BROCA DE BAIXA ROTAÇÃO N. 04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27,3433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820,2990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DE BAIXA ROTAÇÃO N. 06;  BROCA DE BAIXA ROTAÇÃO N. 06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24,8800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746,4000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DIAMANTADA 3168;  BROCA DIAMANTADA 3168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12,5467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250,9340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FINA PONTA DIAMANTADA AMARELA REF 3195F;  BROCA FINA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PONTA DIAMANTADA AMARELA REF 3195F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23,2167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696,5010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PONTA CHAMA 3118;  BROCA PONTA CHAMA 3118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13,6333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272,6660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PONTA DE LÁPIS 2200;  BROCA PONTA DE LÁPIS 2200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21,2167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636,5010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0019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PONTA DE LÁPIS 2200  FF;  BROCA PONTA DE LÁPIS 2200  FF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22,0833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552,0825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BROCA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ZECRYA;  BROCA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CIRURGICA ZECRYA 28 MM,EM MATERIAL CARBIDE,COM PONTA ATIVA E FORMATO TRONCO CONICO.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35,3167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882,9175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CABO PARA ESPELHO BUCAL Nº 5 EM AÇO INOXIDÁVEL;  CABO PARA ESPELHO BUCAL Nº 5 EM AÇO INOXIDÁVEL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16,9400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677,6000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CIMENTO PROVISÓRIO;  MATERIAL DEPREENCHIMENTO TEMPORÁRIO A BASE DE OXIDO DE ZINCO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36,8867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1.106,6010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CONTRA ÂNGULO ODONTOLÓGICO;  CONTRA ANGULO EXTERNO DE BAIXA ROTAÇÃO, VELOCIDADE DE ROTAÇÃO40000 RPM, ENCAIXE NO MICROMOTOR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1.128,0333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3.384,0999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CURATIVO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ALVEOLAR;  CURATIVO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ALVEOLAR, ISENTO DE EUGENOL/EMBALAGEM COM 10G, COM PRÓPOLIS.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101,5667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1.015,6670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DETERGENTE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ENZIMÁTICO;  DETERGENTE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ENZIMATICO INDICADO PARA LIMPEZA DE INSTRUMENTAL.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37,8000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1.890,0000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DIGLUCONATO DE CLOREXIDINA 0,12%; 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Antisseptico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Bucal; Composto Por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Digluconato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Clorexidina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a 0,12%,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Adocado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Com Xilitol; Sabor Menta, Isento de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Alcool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 de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Lauril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Sulfatode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Sodio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; Embalado Em Frasco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Plastico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;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Procedencia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Fabricacao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,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Recomendacoes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Instrucoes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; Validade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Minima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01 Ano; Antisséptico bucal sem álcool sabor menta 1.000ml com dispensador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pump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50,8000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2.286,0000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DISCO DE FELTRO 12MM;  DISCO COMPOSTO POR FELTRO E LÃ,INDICADO PARA POLIMENTO DE COMPOSITOS, AMALGAMA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54,6767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546,7670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ESCOVA DENTAL ADULTO MACIA;  CABO RETO, CERDAS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MACIAS,CABEÇA REFERENCIA 35, COM CERDAS DE CABEÇA ARREDONDADAS CONTENDO 32 TUFOS DE CERDAS, COMPRIMENTO TOTAL DE 17 A 20 CM COM SELO DE APROVAÇÃO DA ABO, EMBALADAS INDIVIDUALMENTE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6,1967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6.196,7000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0029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ESCOVA DENTAL INFANTIL MACIA;  CABO RETO, CERDAS MACIAS, CABEÇA REFERENCIA 35, COM CERDAS DE CABEÇA ARREDONDADAS CONTENDO 28 TUFOS DE CERDAS,COMPRIMENTO TOTAL DE 15 A 17 CM COM SELO DE APROVAÇÃO DA ABO, EMBALADAS INDIVIDUALMENTE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2500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5,4600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13.650,0000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ESCOVA ROBSON;  ESCOVA ROBSON MEDIA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3,6967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147,8680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ESPELHO BUCAL PLANO CX COM 12 UND;  ESPELHO BUCAL PLANO Nº5 \AÇO INOXIDAVEL CX COM 12 UND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43,1933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518,3196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EUGENOL 20 ML;  UTILIZADO EM REAÇÃO COM O OXIDO DE ZINCO PARA RESTAURAÇÃO TEMPORÁRIA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26,4200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792,6000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FILME RADIOGRÁFICO ADULTO CX COM 150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FILME;  FILME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RADIOGRÁFICO ADULTO, INDICADO PARA TOMADAS RADIOGRÁFICAS INTRA-ORAIS (FILME 3X4CM), PROCESSAMENTO MANUAL OU AUTOMÁTICO. - CAIXA COM 150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383,1167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5.363,6338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FILME RADIOGRÁFICO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INFANTIL;  FILME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RADIOGRÁFICO INFANTIL, INDICADO PARA TOMADAS RADIOGRÁFICAS INTRA-ORAIS (FILME 3X4CM), PROCESSAMENTO MANUAL OU AUTOMÁTICO. CAIXA COM 100.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763,5167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3.054,0668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850044149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FIO DE SEDA P/ SUTURA AGULHADO Nº 5-0;  FIO DE SEDA P/ SUTURA AGULHADO Nº 3-0, COM 24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und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84,9667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2.124,1675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FIO RETRATOR;  FIO RETRATOR FINO (00) /,FIO TRANÇADO,100% ALGODAO,NÃO IMPREGNADO, PODENDO SER EMBEBIDO NO LÍQUIDO HEMOSTÁTICO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83,1667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1.996,0008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FITA PARA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AUTOCLAVE;  FITA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PARA AUTOCLAVE INDICADA PARA FECHAMENTO DE PACOTES DE PAPELCONFECCIONADO COM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DORSO DE PAPEL CREPADO Á BASE DE CELULOSE.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12,7333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509,3320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FIXADOR; FIXADOR INDICADO PARA A FIXAÇÃO DA IMAGEM NA PELÍCULA DE FILME EM REVELADORAS MANUAIS.  EMBALAGEM COM 500 M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45,4167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2.043,7515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0039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FLUOR GEL TÓPICO;  FLUOR GEL TÓPICO SABOR TUTI-FRUTI FRASCO COM 200ML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14,7933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591,7320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FORMOCRESOL;  FORMOCRESOL COM 10 ML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21,3200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319,8000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FOTOPOLIMERIZADOR;  Caneta aplicadora (unidade principal);Ponteira de polimerização;/Protetor ocular;/Fonte de alimentação;/Ponteira de clareamento 1 dente;/Ponteira de clareamento 3 dentes;/Display digital;/Corpo confeccionado em ABS injetado;/Ponteira de polimerização com giro de 360°, fabricada em fibra ótica orientada ,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autoclavável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a 134°C;/Radiômetro interno automático;/3 modos de uso:  ‘- Rampa: A intensidade da luz aumenta gradativamente durante os 3 primeiros segundos e depois se mantém na potência máxima;-Pulsado: Pulsos intermitentes de intensidade máxima durante 1 segundo com intervalos de 0,2 segundos;-Contínuo: A intensidade da luz se mantém constante na potência máxima do início ao fim da aplicação./Temporizador para polimerização e clareamento: 5, 10, e 20 e 40 segundos, com bip a cada 5 segundos e no final da operação;-Sistema de economia de energia, desligando o equipamento após ficar mais de 2 minutos sem ser utilizado;/PODE SER USADO COM OU SEM FIO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1.506,3667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4.519,1001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HIDROXIDO DE CALCIO P.A  10GRS;  HIDROXIDO DE CALCIO P.A. com 10 GRS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15,2933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275,2794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INDICADOR BIOLÓGICO TEST 24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HORAS;  INDICADOR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BIOLOGICO PARA MONITORAR CICLOD DE ESTERELIZAÇÃO A VAPOR, CX COM 10 UND.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57,2833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2.176,7654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KIT CIMENTO HIDOXIDO DE CALCIO EM PASTA KIT BASE E CATALIZADOR;  CIMENTO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HIDOXIDO DE CALCIO EM PASTA KIT BASE E CATALIZADOR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KIT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76,3333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3.053,3320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KIT DE POLIMENTO PARA RESINA;  KIT DE POLIMENTO DE RESINA COMPLETO,PONTAS FABRICADAS EM SILICONE GRANULAÇÕES: VERDE (GROSSA), AMARELO (MÉDIA) E BRANCO (FINA)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125,2000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2.504,0000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KIT IONOMERO AUTOPOLIMAUTOPOLIMERIZAVEL;  IONOMETRO DE VIDRO AUTOPOLIMERIZAVEL PARA RESTAURAÇÃO CONTEM 1 FRASCO EM PÓ, 1 FRASCO EM LIQUIDO, E UM MEDIDOR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KIT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106,4333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7.982,4975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LAMINA DE BISTURI NUMERO 15; LAMINA DE BISTURI, AÇO CARBONO ESTERIL EMBALADA INDIVIDUALMENTE EM BLISTER COM PROTEÇÃO VCI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54,9000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329,4000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LIMA H 1° SÉRIE 15 -40 de 25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MM;  Limas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com alto poder de corte, indicadas nas manobras de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pulpectomia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 preparo químico -cirúrgico do canal radicular. * Lima manual em aço inoxidável,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eletropolida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, pertencente à classificação AISI 302, com aproximadamente 17% de Cromo e 8% de Níquel, fabricada por usinagem. * Cabo fabricado em material plástico, do tipo Poliamida, de especificação PA 6.6. Seriação ISO nos números de 08 ao 140. * Secção transversal em forma de gota com ponta ativa. * Com 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stops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silicone. Caixa com 6 unidades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74,7833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598,2664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0049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LIMA K ESTÉRIL 25MM - SORTIDA Nº 15 -40 1°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SERIE;  Lima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em aço inoxidável com secção transversal quadrangular, comprimento de 25mm e torção de 18 a 20 espirais. 1ª Série Tamanho: 15 a 40 (sortida) com 06und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73,7167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589,7336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LUVA DE PROCEDIMENTO LATEX  M;  LUVA DE PROCEDIMENTO LÁTEX TAMANHO M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28,8333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4.324,9950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LUVA DE PROCEDIMENTO LÁTEX P;  LUVA DE PROCEDIMENTO LÁTEX TAMANHO P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28,8333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7.208,3250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MASCARA  CIRÚRGICA TRIPLA DESCARTÁVEL;  CONFECCIONADA EM TRES CAMADAS DE PROPILENO (PP), TECIDO-NÃO-TECIDO.COM ELÁSTICO E CLIP NASAL HIPOALERGENICA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190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20,4167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3.879,1730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0053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MATRIZ DE AÇO 5MM; MATRIZ DE AÇO 0,05MM x 5MM, COM 0,5 MT DE COMPRIMENTO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20,2167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505,4175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MICROBRUSH PONTA FINA;  FORMA ESFERICA,APLICADOR FINO COR AZUL,PONTA FLEXÍVEL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20,5300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615,9000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MICROMOTOR;  AUTOCLAVÁVEL, CONEXAO:BORDEN(2FUROS),ROTAÇÃO DE 5000 A 20.000 RPM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1.131,3333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3.393,9999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OLEO LUBRIFICANTE PARA CANE PARA CANETA ALTA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E  BAIXA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ROTAÇAO – 200ML;  OLEO LUBRIFICANTE PARA CANETA DE ALTA E BAIXA ROTACAO 200ML Óleo para alta rotação, spray(lubrificante) Composição :óleo mineral, solventes, hidrocarbonetos ,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butil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,</w:t>
            </w:r>
            <w:proofErr w:type="spell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hidroxitolueno</w:t>
            </w:r>
            <w:proofErr w:type="spell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 butano como propelente.Com bico aplicador individua que possibilite aplicação do mesmo diretamente nas canetas de alta e baixa rotação. Frasco com 200 ml.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84,8000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678,4000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OXIDO DE ZINCO 50 G;  MATERIAL RESTAURADOR TEMPORÁRIO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16,5600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496,8000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PAPEL CARBONO CONTACTO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PAPER;  PAPEL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CARBONO CONTACTO AZUL E VERMELHO, DUPLA FACE, RESISTENTE A TRAÇÃO E A UMIDADE.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10,7500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430,0000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0059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PARAMONOCLOROFENOL CANFORADO 20ML;  PARAMONOCLOROFENOL 20ML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23,9000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358,5000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PASTA DE DENTE 30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GR;  COM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FLÚOR EMBALAGEM COM 30 GR COM MICROPARTÍCULAS DE CÁLCIO, AÇÃO BACTERIANA,REGISTRO NO MINISTERIO DA SAUDE,EMBALAGEM DEVE CONTER A MARCA DO FABRICANTE,PESO LÍQUIDO,DATA DE FABRICAÇÃO E PRAZO DE VALIDADE.DEVE SER APROVADO NA ABO.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1000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4,2267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4.226,7000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PASTA DE POLIMENTO E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ACABAMENTO;  PASTA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POLIMENTO A BASE DE OXIDO DE ALUMINIO DE GRANULAÇÃO EXTRA FINA PARA RESTAURAÇÃO DE RESINAS COMPOSTAS.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48,2467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723,7005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PASTA PROFILÁTICA S/ ÓLEO 90 G;  PASTA PROFILÁTICA SEM OLEO 90G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23,8433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1.072,9485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0063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850044206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PEDRA PARA AFIAR GOIVA;  DIMENSÕES 10,0X25,0X10,0 PEDRA PARA AFIAR CURETAS GOIVA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66,0667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1.189,2006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PINÇA INSTRUMENTAL CLINICA PARA ALGODÃO 15CM EM INOX;  PINÇA INSTRUMENTAL CLINICA PARA ALGODAO 15CM EM INOX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33,2300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664,6000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850044224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PINÇA PORTA GRAMPO PALMER;  AUTOCLAVÁVEL, FABRICADO EM AÇO INOXIDÁVEL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149,7333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2.395,7328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CHAMA DIAMANTADA FG ALTA ROTAÇÃO 3117;  PONTA CHAMA DIAMANTADA FG ALTA ROTAÇÃO 3117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21,0000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378,0000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 2135;  BROCA 2135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19,0833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572,4990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ALTA ROTAÇÃO 1011;  PONTA DIAMANTADA FG ALTA ROTAÇÃO 1011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14,6000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511,0000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0069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ESFERICA ALTA ROTAÇÃO 1012;  PONTA DIAMANTADA FG ESFERICA ALTA ROTAÇÃO 1012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14,6000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511,0000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ESFERICA ALTA ROTAÇÃO 1014 HL;  PONTA DIAMANTADA FG ESFERICA ALTA ROTAÇÃO 1014 HL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14,3467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373,0142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ESFERICA ALTA ROTAÇÃO 1014;  PONTA DIAMANTADA FG ESFERICA ALTA ROTAÇÃO 1014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18,3000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549,0000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ESFERICA ALTA ROTAÇÃO 1015;  PONTA DIAMANTADA FG ESFERICA ALTA ROTAÇÃO 1015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18,3000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366,0000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ESFERICA ALTA ROTAÇÃO 1016HL;  PONTA DIAMANTADA FG ESFERICA ALTA ROTAÇÃO 1016 HL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19,9000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199,0000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850044169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PONTA DIAMANTADA FG ESFERICA ALTA ROTAÇÃO 1042;  PONTA DIAMANTADA FG ESFERICA ALTA ROTAÇÃO 1042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14,3467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215,2005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A1;  CONSISTENCIA COMPOSTA;/PREENCHIMENTO DE 2,5 MM/RESTAURADOR UNIVERSAL MICROHIBRIDO COMPOSIÇÃO:TEGDMA,BISGMA,CERAMICA SILANIZADA TRATADA,2-BENZOTRIAZOLIL-4- METILFENOL -ELEVADA RESISTENCIA AO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DESGASTE E PARA USO EM AREAS EXTENSAS E DE ELEVADO ESFORÇO -ELEVADA DUREZA -RESISTENCIA A COMPRESSAO E Á FRATURA -EFEITO CAMALEONICO QUE LIMITA AS ESTRUTURAS DENTAIS -PROPORCIONA FÁCIL CONFECÇÃO  DE RESTAURAÇÃO COM BOA ESTÉTICA,ATRAVES DE TECNICA SIMPLIFICADA CARGA EM ZIRCONIA E SÍLICA PARA ELEVADAS PROPRIEDADES MECANICAS -MAIOR FLUORESCENCIA RENDIMENTO:4G-30 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54,8000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1.096,0000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A2;  CONSISTENCIA COMPOSTA;/PREENCHIMENTO DE 2,5 MM/RESTAURADOR UNIVERSAL MICROHIBRIDO COMPOSIÇÃO:TEGDMA,BISGMA,CERAMICA SILANIZADA TRATADA,2-BENZOTRIAZOLIL-4- METILFENOL -ELEVADA RESISTENCIA AO DESGASTE E PARA USO EM AREAS EXTENSAS E DE ELEVADO ESFORÇO -ELEVADA DUREZA -RESISTENCIA A COMPRESSAO E Á FRATURA -EFEITO CAMALEONICO QUE LIMITA AS ESTRUTURAS DENTAIS -PROPORCIONA FÁCIL CONFECÇÃO  DE RESTAURAÇÃO COM BOA ESTÉTICA,ATRAVES DE TECNICA SIMPLIFICADA CARGA EM ZIRCONIA E SÍLICA PARA ELEVADAS PROPRIEDADES MECANICAS -MAIOR FLUORESCENCIA RENDIMENTO:4G-30 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53,3833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3.202,9980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A3,5;  CONSISTENCIA COMPOSTA;/PREENCHIMENTO DE 2,5 MM/RESTAURADOR UNIVERSAL MICROHIBRIDO COMPOSIÇÃO:TEGDMA,BISGMA,CERAMICA SILANIZADA TRATADA,2-BENZOTRIAZOLIL-4- METILFENOL -ELEVADA RESISTENCIA AO DESGASTE E PARA USO EM AREAS EXTENSAS E DE ELEVADO ESFORÇO -ELEVADA DUREZA -RESISTENCIA A COMPRESSAO E Á FRATURA -EFEITO CAMALEONICO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QUE LIMITA AS ESTRUTURAS DENTAIS -PROPORCIONA FÁCIL CONFECÇÃO  DE RESTAURAÇÃO COM BOA ESTÉTICA,ATRAVES DE TECNICA SIMPLIFICADA CARGA EM ZIRCONIA E SÍLICA PARA ELEVADAS PROPRIEDADES MECANICAS -MAIOR FLUORESCENCIA RENDIMENTO:4G-30 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53,3833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3.202,9980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850044175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A3;  CONSISTENCIA COMPOSTA;/PREENCHIMENTO DE 2,5 MM/RESTAURADOR UNIVERSAL MICROHIBRIDO COMPOSIÇÃO:TEGDMA,BISGMA,CERAMICA SILANIZADA TRATADA,2-BENZOTRIAZOLIL-4- METILFENOL -ELEVADA RESISTENCIA AO DESGASTE E PARA USO EM AREAS EXTENSAS E DE ELEVADO ESFORÇO -ELEVADA DUREZA -RESISTENCIA A COMPRESSAO E Á FRATURA -EFEITO CAMALEONICO QUE LIMITA AS ESTRUTURAS DENTAIS -PROPORCIONA FÁCIL CONFECÇÃO  DE RESTAURAÇÃO COM BOA ESTÉTICA,ATRAVES DE TECNICA SIMPLIFICADA CARGA EM ZIRCONIA E SÍLICA PARA ELEVADAS PROPRIEDADES MECANICAS -MAIOR FLUORESCENCIA RENDIMENTO:4G-30 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53,3833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3.202,9980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0079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B1;  CONSISTENCIA COMPOSTA;/PREENCHIMENTO DE 2,5 MM/RESTAURADOR UNIVERSAL MICROHIBRIDO COMPOSIÇÃO:TEGDMA,BISGMA,CERAMICA SILANIZADA TRATADA,2-BENZOTRIAZOLIL-4- METILFENOL -ELEVADA RESISTENCIA AO DESGASTE E PARA USO EM AREAS EXTENSAS E DE ELEVADO ESFORÇO -ELEVADA DUREZA -RESISTENCIA A COMPRESSAO E Á FRATURA -EFEITO CAMALEONICO QUE LIMITA AS ESTRUTURAS DENTAIS -PROPORCIONA FÁCIL CONFECÇÃO  DE RESTAURAÇÃO COM BOA ESTÉTICA,ATRAVES DE TECNICA SIMPLIFICADA CARGA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EM ZIRCONIA E SÍLICA PARA ELEVADAS PROPRIEDADES MECANICAS -MAIOR FLUORESCENCIA RENDIMENTO:4G-30 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186,2833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5.215,9324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850044179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COR OA 3,5;  CONSISTENCIA COMPOSTA;/PREENCHIMENTO DE 2,5 MM/RESTAURADOR UNIVERSAL MICROHIBRIDO COMPOSIÇÃO:TEGDMA,BISGMA,CERAMICA SILANIZADA TRATADA,2-BENZOTRIAZOLIL-4- METILFENOL -ELEVADA RESISTENCIA AO DESGASTE E PARA USO EM AREAS EXTENSAS E DE ELEVADO ESFORÇO -ELEVADA DUREZA -RESISTENCIA A COMPRESSAO E Á FRATURA -EFEITO CAMALEONICO QUE LIMITA AS ESTRUTURAS DENTAIS -PROPORCIONA FÁCIL CONFECÇÃO  DE RESTAURAÇÃO COM BOA ESTÉTICA,ATRAVES DE TECNICA SIMPLIFICADA CARGA EM ZIRCONIA E SÍLICA PARA ELEVADAS PROPRIEDADES MECANICAS -MAIOR FLUORESCENCIA RENDIMENTO:4G-30 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171,3333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5.139,9990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850044178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RESINA NANOHIBRIDA COR UD;  CONSISTENCIA COMPOSTA;/PREENCHIMENTO DE 2,5 MM/RESTAURADOR UNIVERSAL MICROHIBRIDO COMPOSIÇÃO:TEGDMA,BISGMA,CERAMICA SILANIZADA TRATADA,2-BENZOTRIAZOLIL-4- METILFENOL -ELEVADA RESISTENCIA AO DESGASTE E PARA USO EM AREAS EXTENSAS E DE ELEVADO ESFORÇO -ELEVADA DUREZA -RESISTENCIA A COMPRESSAO E Á FRATURA -EFEITO CAMALEONICO QUE LIMITA AS ESTRUTURAS DENTAIS -PROPORCIONA FÁCIL CONFECÇÃO  DE RESTAURAÇÃO COM BOA ESTÉTICA,ATRAVES DE TECNICA SIMPLIFICADA CARGA EM ZIRCONIA E SÍLICA PARA ELEVADAS PROPRIEDADES MECANICAS -MAIOR FLUORESCENCIA RENDIMENTO:4G-30 </w:t>
            </w: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 xml:space="preserve">RESTAURAÇÕES DE DENTES ANTERIORES OU 20 DE POSTERIOES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76,4567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4.587,4020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850044153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REVELADOR RAIO X (frasco); REVELADOR DE RX COM 475 ML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FR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41,7667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1.879,5015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0083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850044196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SELADORA;  SELADORA DE MESA, POSSUI ACIONAMENTO MANUAL,AREA DE SELAGEM DE 31 CM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495,4033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2.972,4198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0084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850044223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SOLUCAO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HEMOSTÁTICA;  SOLUÇÃO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HEMOSTÁTICA, SEM EPINEFRINA EM SUA FORMULAÇÃO/EMBALAGEM COM 10 ML.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35,2000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563,2000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850044184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SONDA EXPLORADORA  NUMERO 5;  PRODUTO CONFECCIONADO EM AÇO INOXIDÁVEL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21,1167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422,3340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0086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850044221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SUGADOR CIRURGICO DESCARTÁVEL ESTÉRIL;  SUGADOR CIRURGICO/PRODUTO DESCARTÁVEL ESTERILIZADO/CX COM 40 UND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92,4500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3.698,0000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0087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850044137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SUGADOR ODONTOLÓGICO DESCARTÁVEL, EMBALAGEM COM 40 UND;  SUGADOR ODONTOLÓGICO DESCARTÁVEL, CONFECCIONADO EM PVC MACIO, ATOXICO E DESCARTAVEL, EMBALAGEM COM 40 UND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PC 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21,6233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3.892,1940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0088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850044220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TAÇA DE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BORRACHA;  POSSUI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FLEXIBILIDADE, NA COR BRANCA, UTILIZADA PARA PROFILAXIA DENTAL.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3,6200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181,0000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0089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850044222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TIRA DE LIXA DE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AÇO;  LIXA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AÇO EM TIRA, FABRICADA EM INOX, TAMANHO 4MM/EMBALAGEM COM 12 UND. 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19,7600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296,4000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0090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850044191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TIRA DE LIXA DE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POLIESTER;  TIRA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DE LIXA DE POLIESTER.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16,9800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509,4000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0091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850044214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TOUCA DESCARTÁVEL BRANCA, EMBALAGEM COM 100 </w:t>
            </w:r>
            <w:proofErr w:type="gramStart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UND;  SANFONADA</w:t>
            </w:r>
            <w:proofErr w:type="gramEnd"/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 E COM ELÁSTICO GRAMATURA 12 COR BRANCA PRODUZIDAS APARTIR DE PROPILENO/TECIDO NÃO TECIDO (TNT).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CX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24,0833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963,3320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0092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850044210</w:t>
            </w: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 xml:space="preserve">TURBINA DE ALTA ROTAÇÃO;  PEÇA DE MÃO DESTINADA A REMOÇÃO DE CÁRIES, AUTOCLAVÁVEL/ROTAÇÃO DE360000 A 420000 RPM/CONEXAO BORDEN(2 FUROS) </w:t>
            </w: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UNIDADE</w:t>
            </w: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1.515,0833</w:t>
            </w: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sz w:val="18"/>
                <w:szCs w:val="18"/>
              </w:rPr>
              <w:t>3.030,1666</w:t>
            </w:r>
          </w:p>
        </w:tc>
      </w:tr>
      <w:tr w:rsidR="0089416B" w:rsidRPr="00B77D4F" w:rsidTr="00EC1948">
        <w:tc>
          <w:tcPr>
            <w:tcW w:w="849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both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center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9416B" w:rsidRPr="00B77D4F" w:rsidRDefault="0089416B" w:rsidP="00EC1948">
            <w:pPr>
              <w:spacing w:after="0" w:line="240" w:lineRule="auto"/>
              <w:jc w:val="right"/>
              <w:rPr>
                <w:rFonts w:ascii="Bookman Old Style" w:eastAsia="Arial" w:hAnsi="Bookman Old Style" w:cs="Arial"/>
                <w:sz w:val="18"/>
                <w:szCs w:val="18"/>
              </w:rPr>
            </w:pPr>
            <w:r w:rsidRPr="00B77D4F">
              <w:rPr>
                <w:rFonts w:ascii="Bookman Old Style" w:eastAsia="Arial" w:hAnsi="Bookman Old Style" w:cs="Arial"/>
                <w:b/>
                <w:sz w:val="18"/>
                <w:szCs w:val="18"/>
              </w:rPr>
              <w:t>206.618,0358</w:t>
            </w:r>
          </w:p>
        </w:tc>
      </w:tr>
    </w:tbl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color w:val="000000"/>
          <w:sz w:val="24"/>
          <w:szCs w:val="24"/>
          <w:lang w:eastAsia="pt-BR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lastRenderedPageBreak/>
        <w:t>1.3.</w:t>
      </w: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ab/>
      </w:r>
      <w:r w:rsidRPr="00B77D4F">
        <w:rPr>
          <w:rFonts w:ascii="Bookman Old Style" w:hAnsi="Bookman Old Style"/>
          <w:color w:val="000000"/>
          <w:sz w:val="24"/>
          <w:szCs w:val="24"/>
          <w:lang w:eastAsia="pt-BR"/>
        </w:rPr>
        <w:t xml:space="preserve">A contratação será processada pelo </w:t>
      </w:r>
      <w:r w:rsidRPr="00B77D4F">
        <w:rPr>
          <w:rFonts w:ascii="Bookman Old Style" w:hAnsi="Bookman Old Style"/>
          <w:b/>
          <w:color w:val="000000"/>
          <w:sz w:val="24"/>
          <w:szCs w:val="24"/>
          <w:lang w:eastAsia="pt-BR"/>
        </w:rPr>
        <w:t>Sistema de Registro de Preços</w:t>
      </w:r>
      <w:r w:rsidRPr="00B77D4F">
        <w:rPr>
          <w:rFonts w:ascii="Bookman Old Style" w:hAnsi="Bookman Old Style"/>
          <w:color w:val="000000"/>
          <w:sz w:val="24"/>
          <w:szCs w:val="24"/>
          <w:lang w:eastAsia="pt-BR"/>
        </w:rPr>
        <w:t>, conforme autoriza o</w:t>
      </w:r>
      <w:r w:rsidRPr="00B77D4F">
        <w:rPr>
          <w:rFonts w:ascii="Bookman Old Style" w:hAnsi="Bookman Old Style"/>
          <w:sz w:val="24"/>
          <w:szCs w:val="24"/>
          <w:lang w:eastAsia="pt-BR"/>
        </w:rPr>
        <w:t xml:space="preserve"> Decreto Federal nº 11.462 de 01 de abril de 2021.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 w:cs="Arial"/>
          <w:b/>
          <w:color w:val="000000"/>
          <w:sz w:val="24"/>
          <w:szCs w:val="24"/>
          <w:lang w:eastAsia="pt-BR"/>
        </w:rPr>
        <w:t>1.3.1</w:t>
      </w:r>
      <w:r w:rsidRPr="00B77D4F">
        <w:rPr>
          <w:rFonts w:ascii="Bookman Old Style" w:hAnsi="Bookman Old Style" w:cs="Arial"/>
          <w:color w:val="000000"/>
          <w:sz w:val="24"/>
          <w:szCs w:val="24"/>
          <w:lang w:eastAsia="pt-BR"/>
        </w:rPr>
        <w:t>.</w:t>
      </w:r>
      <w:r w:rsidRPr="00B77D4F">
        <w:rPr>
          <w:rFonts w:ascii="Bookman Old Style" w:hAnsi="Bookman Old Style" w:cs="Arial"/>
          <w:color w:val="000000"/>
          <w:sz w:val="24"/>
          <w:szCs w:val="24"/>
          <w:lang w:eastAsia="pt-BR"/>
        </w:rPr>
        <w:tab/>
      </w:r>
      <w:r w:rsidRPr="00B77D4F">
        <w:rPr>
          <w:rFonts w:ascii="Bookman Old Style" w:hAnsi="Bookman Old Style"/>
          <w:sz w:val="24"/>
          <w:szCs w:val="24"/>
        </w:rPr>
        <w:t>A existência de preços registrados implicará compromisso de fornecimento nas condições estabelecidas, mas não obrigará a secretaria a contratar, facultada a realização de licitação específica para a aquisição pretendida, desde que devidamente motivada.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1.4.</w:t>
      </w:r>
      <w:r w:rsidRPr="00B77D4F">
        <w:rPr>
          <w:rFonts w:ascii="Bookman Old Style" w:hAnsi="Bookman Old Style"/>
          <w:sz w:val="24"/>
          <w:szCs w:val="24"/>
        </w:rPr>
        <w:tab/>
        <w:t>As quantidades indicadas no subitem 1.2 são estimativas de consumo anual.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1.4.1.</w:t>
      </w:r>
      <w:r w:rsidRPr="00B77D4F">
        <w:rPr>
          <w:rFonts w:ascii="Bookman Old Style" w:hAnsi="Bookman Old Style"/>
          <w:sz w:val="24"/>
          <w:szCs w:val="24"/>
        </w:rPr>
        <w:tab/>
        <w:t>Nas eventuais contratações decorrentes da ata de registro de preço, o quantitativo a ser adquirido ficará limitado ao valor máximo da despesa fixado na pesquisa de preço de que trata o item 8 deste Termo de Referência.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1.5.</w:t>
      </w:r>
      <w:r w:rsidRPr="00B77D4F">
        <w:rPr>
          <w:rFonts w:ascii="Bookman Old Style" w:hAnsi="Bookman Old Style"/>
          <w:sz w:val="24"/>
          <w:szCs w:val="24"/>
        </w:rPr>
        <w:tab/>
        <w:t>Não será permitido ao licitante: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B77D4F">
        <w:rPr>
          <w:rFonts w:ascii="Bookman Old Style" w:hAnsi="Bookman Old Style"/>
          <w:sz w:val="24"/>
          <w:szCs w:val="24"/>
        </w:rPr>
        <w:t>a)</w:t>
      </w:r>
      <w:r w:rsidRPr="00B77D4F">
        <w:rPr>
          <w:rFonts w:ascii="Bookman Old Style" w:hAnsi="Bookman Old Style"/>
          <w:sz w:val="24"/>
          <w:szCs w:val="24"/>
        </w:rPr>
        <w:tab/>
        <w:t>Oferecer</w:t>
      </w:r>
      <w:proofErr w:type="gramEnd"/>
      <w:r w:rsidRPr="00B77D4F">
        <w:rPr>
          <w:rFonts w:ascii="Bookman Old Style" w:hAnsi="Bookman Old Style"/>
          <w:sz w:val="24"/>
          <w:szCs w:val="24"/>
        </w:rPr>
        <w:t xml:space="preserve"> proposta em quantitativo inferior ao previsto no subitem 1.2 deste Termo de Referência (proposta parcial);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</w:rPr>
        <w:t>b)</w:t>
      </w:r>
      <w:r w:rsidRPr="00B77D4F">
        <w:rPr>
          <w:rFonts w:ascii="Bookman Old Style" w:hAnsi="Bookman Old Style"/>
          <w:sz w:val="24"/>
          <w:szCs w:val="24"/>
        </w:rPr>
        <w:tab/>
        <w:t>Preços diferentes para o mesmo item a ser licitado.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bCs/>
          <w:color w:val="FF0000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1.6.</w:t>
      </w: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 xml:space="preserve"> O objeto desta contratação é caracterizado como bem comum nos termos do inciso </w:t>
      </w:r>
      <w:r w:rsidRPr="00B77D4F">
        <w:rPr>
          <w:rFonts w:ascii="Bookman Old Style" w:eastAsia="Times New Roman" w:hAnsi="Bookman Old Style" w:cs="Arial"/>
          <w:color w:val="000000"/>
          <w:sz w:val="24"/>
          <w:szCs w:val="24"/>
          <w:lang w:eastAsia="pt-BR"/>
        </w:rPr>
        <w:t>XIII do art.6º da Lei 14.133, de 2021</w:t>
      </w: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>, conforme informado na SD originária, e atende as disposições do Decreto nº 430 de 09 de janeiro de 2024,</w:t>
      </w:r>
      <w:r w:rsidRPr="00B77D4F">
        <w:rPr>
          <w:rFonts w:ascii="Bookman Old Style" w:hAnsi="Bookman Old Style" w:cs="Calibri"/>
          <w:bCs/>
          <w:color w:val="FF0000"/>
          <w:sz w:val="24"/>
          <w:szCs w:val="24"/>
        </w:rPr>
        <w:t xml:space="preserve"> </w:t>
      </w:r>
      <w:r w:rsidRPr="00B77D4F">
        <w:rPr>
          <w:rFonts w:ascii="Bookman Old Style" w:hAnsi="Bookman Old Style" w:cs="Calibri"/>
          <w:bCs/>
          <w:sz w:val="24"/>
          <w:szCs w:val="24"/>
        </w:rPr>
        <w:t>não se caracterizando como bem de luxo.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b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1.7.</w:t>
      </w:r>
      <w:r w:rsidRPr="00B77D4F">
        <w:rPr>
          <w:rFonts w:ascii="Bookman Old Style" w:hAnsi="Bookman Old Style"/>
          <w:b/>
          <w:bCs/>
          <w:sz w:val="24"/>
          <w:szCs w:val="24"/>
        </w:rPr>
        <w:tab/>
      </w:r>
      <w:r w:rsidRPr="00B77D4F">
        <w:rPr>
          <w:rFonts w:ascii="Bookman Old Style" w:hAnsi="Bookman Old Style"/>
          <w:b/>
          <w:sz w:val="24"/>
          <w:szCs w:val="24"/>
        </w:rPr>
        <w:t>Utilização do catálogo de padronização: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1.7.1.</w:t>
      </w:r>
      <w:r w:rsidRPr="00B77D4F">
        <w:rPr>
          <w:rFonts w:ascii="Bookman Old Style" w:hAnsi="Bookman Old Style" w:cs="Calibri"/>
          <w:sz w:val="24"/>
          <w:szCs w:val="24"/>
        </w:rPr>
        <w:t xml:space="preserve"> O órgão adotará catálogo próprio e os produtos não estão padronizados até a presente data, sendo utilizada a especificação técnica contida no sistema interno enquanto o catálogo de padronização está sendo construído gradativamente.</w:t>
      </w:r>
    </w:p>
    <w:p w:rsidR="0089416B" w:rsidRPr="00B77D4F" w:rsidRDefault="0089416B" w:rsidP="0089416B">
      <w:pPr>
        <w:pStyle w:val="Corpodetexto"/>
        <w:rPr>
          <w:rFonts w:ascii="Bookman Old Style" w:hAnsi="Bookman Old Style"/>
          <w:b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Do prazo de vigência da Ata de Registro de Preço e dos Contratos dela decorrentes: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color w:val="000000"/>
          <w:sz w:val="24"/>
          <w:szCs w:val="24"/>
          <w:lang w:eastAsia="pt-BR"/>
        </w:rPr>
        <w:t>1.7.2.</w:t>
      </w:r>
      <w:r w:rsidRPr="00B77D4F">
        <w:rPr>
          <w:rFonts w:ascii="Bookman Old Style" w:hAnsi="Bookman Old Style"/>
          <w:color w:val="000000"/>
          <w:sz w:val="24"/>
          <w:szCs w:val="24"/>
          <w:lang w:eastAsia="pt-BR"/>
        </w:rPr>
        <w:t xml:space="preserve"> </w:t>
      </w:r>
      <w:r w:rsidRPr="00B77D4F">
        <w:rPr>
          <w:rFonts w:ascii="Bookman Old Style" w:hAnsi="Bookman Old Style"/>
          <w:sz w:val="24"/>
          <w:szCs w:val="24"/>
          <w:lang w:eastAsia="pt-BR"/>
        </w:rPr>
        <w:t>O prazo de vigência da ata de registro de preços a ser formalizada será de 01 (um) ano, contados da data da publicação de seu extrato no Site Oficial do Município https://eugenopolis.mg.gov.br/, e poderá ser prorrogado, por igual período, observado as regras previstas na Ata de Registro de Preço.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color w:val="000000"/>
          <w:sz w:val="24"/>
          <w:szCs w:val="24"/>
          <w:lang w:eastAsia="pt-BR"/>
        </w:rPr>
        <w:t>1.8.</w:t>
      </w:r>
      <w:r w:rsidRPr="00B77D4F">
        <w:rPr>
          <w:rFonts w:ascii="Bookman Old Style" w:hAnsi="Bookman Old Style"/>
          <w:sz w:val="24"/>
          <w:szCs w:val="24"/>
          <w:lang w:eastAsia="pt-BR"/>
        </w:rPr>
        <w:tab/>
        <w:t>O prazo de duração dos contratos, decorrentes da ARP, não se confunde com o prazo de vigência da própria ata (previsto no subitem 1.7.2), estando aquele primeiro submetido ao disposto no Capítulo V do Título III da Lei 14.133, de 2021.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1.8.</w:t>
      </w:r>
      <w:r w:rsidRPr="00B77D4F">
        <w:rPr>
          <w:rFonts w:ascii="Bookman Old Style" w:hAnsi="Bookman Old Style"/>
          <w:b/>
          <w:bCs/>
          <w:sz w:val="24"/>
          <w:szCs w:val="24"/>
          <w:lang w:eastAsia="pt-BR"/>
        </w:rPr>
        <w:t>1</w:t>
      </w:r>
      <w:r w:rsidRPr="00B77D4F">
        <w:rPr>
          <w:rFonts w:ascii="Bookman Old Style" w:hAnsi="Bookman Old Style"/>
          <w:sz w:val="24"/>
          <w:szCs w:val="24"/>
          <w:lang w:eastAsia="pt-BR"/>
        </w:rPr>
        <w:t>.</w:t>
      </w:r>
      <w:r w:rsidRPr="00B77D4F">
        <w:rPr>
          <w:rFonts w:ascii="Bookman Old Style" w:hAnsi="Bookman Old Style"/>
          <w:sz w:val="24"/>
          <w:szCs w:val="24"/>
          <w:lang w:eastAsia="pt-BR"/>
        </w:rPr>
        <w:tab/>
        <w:t>O instrumento que se utilizará da Ata de Registro de Preços será a Autorização de fornecimento, em modelo padronizado do órgão, podendo ser firmado contrato com o prazo de vigência da contratação, na forma do artigo 105 da Lei 14.133, de 2021.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 w:rsidRPr="00B77D4F">
        <w:rPr>
          <w:rFonts w:ascii="Bookman Old Style" w:hAnsi="Bookman Old Style"/>
          <w:b/>
          <w:iCs/>
          <w:color w:val="000000"/>
          <w:sz w:val="24"/>
          <w:szCs w:val="24"/>
        </w:rPr>
        <w:t>1.9</w:t>
      </w:r>
      <w:r w:rsidRPr="00B77D4F">
        <w:rPr>
          <w:rFonts w:ascii="Bookman Old Style" w:hAnsi="Bookman Old Style"/>
          <w:iCs/>
          <w:color w:val="000000"/>
          <w:sz w:val="24"/>
          <w:szCs w:val="24"/>
        </w:rPr>
        <w:t>. O instrumento do contrato conterá o detalhamento das regras que serão aplicadas em relação à vigência da contratação.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89416B" w:rsidRPr="00B77D4F" w:rsidRDefault="0089416B" w:rsidP="0089416B">
      <w:pPr>
        <w:pStyle w:val="PargrafodaLista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right="-1" w:hanging="11"/>
        <w:contextualSpacing w:val="0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DA JUSTIFICATIVA/NECESSIDADE DA CONTRATAÇÃO</w:t>
      </w:r>
    </w:p>
    <w:p w:rsidR="0089416B" w:rsidRPr="00B77D4F" w:rsidRDefault="0089416B" w:rsidP="0089416B">
      <w:pPr>
        <w:pStyle w:val="PargrafodaLista"/>
        <w:widowControl w:val="0"/>
        <w:numPr>
          <w:ilvl w:val="1"/>
          <w:numId w:val="26"/>
        </w:numPr>
        <w:autoSpaceDE w:val="0"/>
        <w:autoSpaceDN w:val="0"/>
        <w:spacing w:after="0" w:line="240" w:lineRule="auto"/>
        <w:ind w:left="0" w:right="-1" w:firstLine="0"/>
        <w:contextualSpacing w:val="0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 xml:space="preserve">Conforme materializada no relatório do ETP, a contratação </w:t>
      </w:r>
      <w:r w:rsidRPr="00B77D4F">
        <w:rPr>
          <w:rFonts w:ascii="Bookman Old Style" w:hAnsi="Bookman Old Style"/>
          <w:bCs/>
          <w:sz w:val="24"/>
          <w:szCs w:val="24"/>
        </w:rPr>
        <w:t xml:space="preserve">visa a aquisição de material e equipamento odontológico para prestar serviços de forma gratuita e de qualidade para a população do munícipio de Eugenópolis nas Unidades </w:t>
      </w:r>
      <w:r w:rsidRPr="00B77D4F">
        <w:rPr>
          <w:rFonts w:ascii="Bookman Old Style" w:hAnsi="Bookman Old Style"/>
          <w:bCs/>
          <w:sz w:val="24"/>
          <w:szCs w:val="24"/>
        </w:rPr>
        <w:lastRenderedPageBreak/>
        <w:t>Básicas de Saúde e nos demais postos de saúde.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 xml:space="preserve">3 – DA DESCRIÇÃO DA SOLUÇÃO COMO UM TODO E REQUISITOS DA CONTRATAÇÃO - 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>Conforme previsto no relatório do ETP, a solução como um todo estabelece os requisitos abaixo:</w:t>
      </w:r>
    </w:p>
    <w:p w:rsidR="0089416B" w:rsidRPr="00B77D4F" w:rsidRDefault="0089416B" w:rsidP="006C4AE3">
      <w:pPr>
        <w:adjustRightInd w:val="0"/>
        <w:spacing w:after="0" w:line="240" w:lineRule="auto"/>
        <w:jc w:val="both"/>
        <w:rPr>
          <w:rFonts w:ascii="Bookman Old Style" w:hAnsi="Bookman Old Style" w:cs="Arial"/>
          <w:bCs/>
          <w:sz w:val="24"/>
          <w:szCs w:val="24"/>
        </w:rPr>
      </w:pPr>
      <w:r w:rsidRPr="00B77D4F">
        <w:rPr>
          <w:rFonts w:ascii="Bookman Old Style" w:hAnsi="Bookman Old Style" w:cs="Arial"/>
          <w:bCs/>
          <w:sz w:val="24"/>
          <w:szCs w:val="24"/>
        </w:rPr>
        <w:t>3.1. O presente estudo registra os principais requisitos para a contratação, conforme abaixo:</w:t>
      </w:r>
    </w:p>
    <w:p w:rsidR="0089416B" w:rsidRPr="00B77D4F" w:rsidRDefault="0089416B" w:rsidP="006C4AE3">
      <w:pPr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B77D4F">
        <w:rPr>
          <w:rFonts w:ascii="Bookman Old Style" w:hAnsi="Bookman Old Style" w:cs="Arial"/>
          <w:sz w:val="24"/>
          <w:szCs w:val="24"/>
        </w:rPr>
        <w:t>3.1.1 Prazo de entrega/execução: O fornecedor tem o prazo de 10 (dez) dias desde a solicitação feita pelo setor de compras.</w:t>
      </w:r>
    </w:p>
    <w:p w:rsidR="0089416B" w:rsidRPr="00B77D4F" w:rsidRDefault="0089416B" w:rsidP="006C4AE3">
      <w:pPr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B77D4F">
        <w:rPr>
          <w:rFonts w:ascii="Bookman Old Style" w:hAnsi="Bookman Old Style" w:cs="Arial"/>
          <w:sz w:val="24"/>
          <w:szCs w:val="24"/>
        </w:rPr>
        <w:t>3.1.2. Local e horário da entrega:</w:t>
      </w:r>
      <w:r w:rsidRPr="00B77D4F">
        <w:rPr>
          <w:rFonts w:ascii="Bookman Old Style" w:eastAsia="Calibri" w:hAnsi="Bookman Old Style"/>
          <w:b/>
          <w:sz w:val="24"/>
          <w:szCs w:val="24"/>
        </w:rPr>
        <w:t xml:space="preserve"> </w:t>
      </w:r>
      <w:r w:rsidRPr="00B77D4F">
        <w:rPr>
          <w:rFonts w:ascii="Bookman Old Style" w:hAnsi="Bookman Old Style" w:cs="Arial"/>
          <w:b/>
          <w:sz w:val="24"/>
          <w:szCs w:val="24"/>
        </w:rPr>
        <w:t>As entregas deverão ser realizadas no município de Eugenópolis, em dias úteis, entre 08 h (oito horas) as 16h (dezesseis horas), cujo local e seu endereço serão previamente informados na ordem de fornecimento ou de outro documento equivalente.</w:t>
      </w:r>
    </w:p>
    <w:p w:rsidR="0089416B" w:rsidRPr="00B77D4F" w:rsidRDefault="0089416B" w:rsidP="006C4AE3">
      <w:pPr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B77D4F">
        <w:rPr>
          <w:rFonts w:ascii="Bookman Old Style" w:hAnsi="Bookman Old Style" w:cs="Arial"/>
          <w:sz w:val="24"/>
          <w:szCs w:val="24"/>
        </w:rPr>
        <w:t>3.1.3. Condições do recebimento:</w:t>
      </w:r>
      <w:r w:rsidRPr="00B77D4F">
        <w:rPr>
          <w:rFonts w:ascii="Bookman Old Style" w:eastAsia="Calibri" w:hAnsi="Bookman Old Style"/>
          <w:sz w:val="24"/>
          <w:szCs w:val="24"/>
        </w:rPr>
        <w:t xml:space="preserve"> </w:t>
      </w:r>
      <w:r w:rsidRPr="00B77D4F">
        <w:rPr>
          <w:rFonts w:ascii="Bookman Old Style" w:hAnsi="Bookman Old Style" w:cs="Arial"/>
          <w:sz w:val="24"/>
          <w:szCs w:val="24"/>
        </w:rPr>
        <w:t xml:space="preserve">Em até </w:t>
      </w:r>
      <w:r w:rsidRPr="00B77D4F">
        <w:rPr>
          <w:rFonts w:ascii="Bookman Old Style" w:hAnsi="Bookman Old Style" w:cs="Arial"/>
          <w:b/>
          <w:sz w:val="24"/>
          <w:szCs w:val="24"/>
        </w:rPr>
        <w:t>20 dias</w:t>
      </w:r>
      <w:r w:rsidRPr="00B77D4F">
        <w:rPr>
          <w:rFonts w:ascii="Bookman Old Style" w:hAnsi="Bookman Old Style" w:cs="Arial"/>
          <w:sz w:val="24"/>
          <w:szCs w:val="24"/>
        </w:rPr>
        <w:t xml:space="preserve"> após entrega do produto e sua respectiva nota fiscal ao setor de tesouraria da prefeitura.</w:t>
      </w:r>
    </w:p>
    <w:p w:rsidR="0089416B" w:rsidRPr="00B77D4F" w:rsidRDefault="0089416B" w:rsidP="006C4AE3">
      <w:pPr>
        <w:shd w:val="clear" w:color="auto" w:fill="FFFFFF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 w:cs="Arial"/>
          <w:sz w:val="24"/>
          <w:szCs w:val="24"/>
        </w:rPr>
        <w:t xml:space="preserve">3.1.4. Prazo e forma de garantia </w:t>
      </w:r>
      <w:r w:rsidRPr="00B77D4F">
        <w:rPr>
          <w:rFonts w:ascii="Bookman Old Style" w:hAnsi="Bookman Old Style"/>
          <w:sz w:val="24"/>
          <w:szCs w:val="24"/>
        </w:rPr>
        <w:t>(garantias legal e complementar - inciso III, § 1º, art. 40 – art. 58 - § 1º do art. 96, NLL):</w:t>
      </w:r>
      <w:r w:rsidRPr="00B77D4F">
        <w:rPr>
          <w:rFonts w:ascii="Bookman Old Style" w:eastAsia="Calibri" w:hAnsi="Bookman Old Style"/>
          <w:sz w:val="24"/>
          <w:szCs w:val="24"/>
        </w:rPr>
        <w:t xml:space="preserve"> </w:t>
      </w:r>
      <w:r w:rsidRPr="00B77D4F">
        <w:rPr>
          <w:rFonts w:ascii="Bookman Old Style" w:hAnsi="Bookman Old Style"/>
          <w:sz w:val="24"/>
          <w:szCs w:val="24"/>
        </w:rPr>
        <w:t>Garantia Legal do CDC.</w:t>
      </w:r>
    </w:p>
    <w:p w:rsidR="0089416B" w:rsidRPr="00B77D4F" w:rsidRDefault="0089416B" w:rsidP="006C4AE3">
      <w:pPr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B77D4F">
        <w:rPr>
          <w:rFonts w:ascii="Bookman Old Style" w:hAnsi="Bookman Old Style" w:cs="Arial"/>
          <w:sz w:val="24"/>
          <w:szCs w:val="24"/>
        </w:rPr>
        <w:t xml:space="preserve">3.1.5. Prazo para substituição/correção: O prazo de substituição será de </w:t>
      </w:r>
      <w:r w:rsidRPr="00B77D4F">
        <w:rPr>
          <w:rFonts w:ascii="Bookman Old Style" w:hAnsi="Bookman Old Style" w:cs="Arial"/>
          <w:b/>
          <w:sz w:val="24"/>
          <w:szCs w:val="24"/>
        </w:rPr>
        <w:t>10 dias</w:t>
      </w:r>
      <w:r w:rsidRPr="00B77D4F">
        <w:rPr>
          <w:rFonts w:ascii="Bookman Old Style" w:hAnsi="Bookman Old Style" w:cs="Arial"/>
          <w:sz w:val="24"/>
          <w:szCs w:val="24"/>
        </w:rPr>
        <w:t>.</w:t>
      </w:r>
    </w:p>
    <w:p w:rsidR="0089416B" w:rsidRPr="00B77D4F" w:rsidRDefault="0089416B" w:rsidP="006C4AE3">
      <w:pPr>
        <w:adjustRightInd w:val="0"/>
        <w:spacing w:after="0" w:line="240" w:lineRule="auto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Arial"/>
          <w:sz w:val="24"/>
          <w:szCs w:val="24"/>
        </w:rPr>
        <w:t xml:space="preserve">3.1.6. Prazo de vigência da contratação: o prazo de vigência da ARP será de </w:t>
      </w:r>
      <w:r w:rsidRPr="00B77D4F">
        <w:rPr>
          <w:rFonts w:ascii="Bookman Old Style" w:hAnsi="Bookman Old Style" w:cs="Arial"/>
          <w:b/>
          <w:sz w:val="24"/>
          <w:szCs w:val="24"/>
        </w:rPr>
        <w:t>12 (doze) meses.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3.2.</w:t>
      </w:r>
      <w:r w:rsidRPr="00B77D4F">
        <w:rPr>
          <w:rFonts w:ascii="Bookman Old Style" w:hAnsi="Bookman Old Style"/>
          <w:sz w:val="24"/>
          <w:szCs w:val="24"/>
          <w:lang w:eastAsia="pt-BR"/>
        </w:rPr>
        <w:tab/>
        <w:t>Do consórcio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3.2.1.</w:t>
      </w:r>
      <w:r w:rsidRPr="00B77D4F">
        <w:rPr>
          <w:rFonts w:ascii="Bookman Old Style" w:hAnsi="Bookman Old Style"/>
          <w:b/>
          <w:sz w:val="24"/>
          <w:szCs w:val="24"/>
          <w:lang w:eastAsia="pt-BR"/>
        </w:rPr>
        <w:tab/>
      </w:r>
      <w:r w:rsidRPr="00B77D4F">
        <w:rPr>
          <w:rFonts w:ascii="Bookman Old Style" w:hAnsi="Bookman Old Style"/>
          <w:sz w:val="24"/>
          <w:szCs w:val="24"/>
          <w:lang w:eastAsia="pt-BR"/>
        </w:rPr>
        <w:t>Não será permitida a participação de empresas em regime de consórcio, pela seguinte razão: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sz w:val="24"/>
          <w:szCs w:val="24"/>
          <w:lang w:eastAsia="pt-BR"/>
        </w:rPr>
        <w:t xml:space="preserve">Para o </w:t>
      </w:r>
      <w:proofErr w:type="gramStart"/>
      <w:r w:rsidRPr="00B77D4F">
        <w:rPr>
          <w:rFonts w:ascii="Bookman Old Style" w:hAnsi="Bookman Old Style"/>
          <w:sz w:val="24"/>
          <w:szCs w:val="24"/>
          <w:lang w:eastAsia="pt-BR"/>
        </w:rPr>
        <w:t>presente  objeto</w:t>
      </w:r>
      <w:proofErr w:type="gramEnd"/>
      <w:r w:rsidRPr="00B77D4F">
        <w:rPr>
          <w:rFonts w:ascii="Bookman Old Style" w:hAnsi="Bookman Old Style"/>
          <w:sz w:val="24"/>
          <w:szCs w:val="24"/>
          <w:lang w:eastAsia="pt-BR"/>
        </w:rPr>
        <w:t xml:space="preserve">  não é necessária a previsão de participação de empresas de forma consorciada, considerando que o objeto não é complexo e pode ser desenvolvido por uma só empresa, sendo assim, o instituto, não representa para o caso estudado, maior garantia a execução contratual,  e a sua não adoção permitirá maior facilidade para o processo de fiscalização.</w:t>
      </w:r>
    </w:p>
    <w:p w:rsidR="0089416B" w:rsidRPr="00B77D4F" w:rsidRDefault="0089416B" w:rsidP="0089416B">
      <w:pPr>
        <w:pStyle w:val="Lista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3.3.</w:t>
      </w:r>
      <w:r w:rsidRPr="00B77D4F">
        <w:rPr>
          <w:rFonts w:ascii="Bookman Old Style" w:hAnsi="Bookman Old Style"/>
          <w:sz w:val="24"/>
          <w:szCs w:val="24"/>
          <w:lang w:eastAsia="pt-BR"/>
        </w:rPr>
        <w:tab/>
        <w:t>Da subcontratação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3.3.1.</w:t>
      </w:r>
      <w:r w:rsidRPr="00B77D4F">
        <w:rPr>
          <w:rFonts w:ascii="Bookman Old Style" w:hAnsi="Bookman Old Style"/>
          <w:sz w:val="24"/>
          <w:szCs w:val="24"/>
          <w:lang w:eastAsia="pt-BR"/>
        </w:rPr>
        <w:tab/>
        <w:t>Não será admitida a subcontratação do objeto contratual.</w:t>
      </w:r>
    </w:p>
    <w:p w:rsidR="0089416B" w:rsidRPr="00B77D4F" w:rsidRDefault="0089416B" w:rsidP="0089416B">
      <w:pPr>
        <w:pStyle w:val="Lista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3.4.</w:t>
      </w:r>
      <w:r w:rsidRPr="00B77D4F">
        <w:rPr>
          <w:rFonts w:ascii="Bookman Old Style" w:hAnsi="Bookman Old Style"/>
          <w:b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Da exigência de garantia da contratação:</w:t>
      </w:r>
    </w:p>
    <w:p w:rsidR="0089416B" w:rsidRPr="00B77D4F" w:rsidRDefault="0089416B" w:rsidP="0089416B">
      <w:pPr>
        <w:pStyle w:val="Lista2"/>
        <w:spacing w:after="0" w:line="240" w:lineRule="auto"/>
        <w:ind w:left="0" w:hanging="1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3.4.1.</w:t>
      </w:r>
      <w:r w:rsidRPr="00B77D4F">
        <w:rPr>
          <w:rFonts w:ascii="Bookman Old Style" w:hAnsi="Bookman Old Style"/>
          <w:sz w:val="24"/>
          <w:szCs w:val="24"/>
        </w:rPr>
        <w:tab/>
        <w:t>Conforme justificado no ETP não haverá necessidade de exigência de garantia contratual.</w:t>
      </w:r>
    </w:p>
    <w:p w:rsidR="0089416B" w:rsidRPr="00B77D4F" w:rsidRDefault="0089416B" w:rsidP="0089416B">
      <w:pPr>
        <w:pStyle w:val="Textodecomentrio"/>
        <w:ind w:right="-1"/>
        <w:jc w:val="both"/>
        <w:rPr>
          <w:rFonts w:ascii="Bookman Old Style" w:hAnsi="Bookman Old Style" w:cs="Calibri"/>
          <w:b/>
          <w:i/>
          <w:iCs/>
          <w:color w:val="FF0000"/>
          <w:sz w:val="24"/>
          <w:szCs w:val="24"/>
        </w:rPr>
      </w:pPr>
    </w:p>
    <w:p w:rsidR="0089416B" w:rsidRPr="00B77D4F" w:rsidRDefault="0089416B" w:rsidP="0089416B">
      <w:pPr>
        <w:pStyle w:val="Nivel2"/>
        <w:spacing w:before="0" w:after="0" w:line="240" w:lineRule="auto"/>
        <w:rPr>
          <w:rFonts w:ascii="Bookman Old Style" w:hAnsi="Bookman Old Style"/>
          <w:b/>
          <w:iCs/>
          <w:sz w:val="24"/>
          <w:szCs w:val="24"/>
        </w:rPr>
      </w:pPr>
      <w:r w:rsidRPr="00B77D4F">
        <w:rPr>
          <w:rFonts w:ascii="Bookman Old Style" w:hAnsi="Bookman Old Style"/>
          <w:b/>
          <w:iCs/>
          <w:sz w:val="24"/>
          <w:szCs w:val="24"/>
        </w:rPr>
        <w:t>4. MODELO DE EXECUÇÃO DO OBJETO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4.1.</w:t>
      </w:r>
      <w:r w:rsidRPr="00B77D4F">
        <w:rPr>
          <w:rFonts w:ascii="Bookman Old Style" w:hAnsi="Bookman Old Style"/>
          <w:sz w:val="24"/>
          <w:szCs w:val="24"/>
        </w:rPr>
        <w:tab/>
        <w:t>Das contratações decorrentes da Ata de Registro de Preço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4.1.1.</w:t>
      </w:r>
      <w:r w:rsidRPr="00B77D4F">
        <w:rPr>
          <w:rFonts w:ascii="Bookman Old Style" w:hAnsi="Bookman Old Style"/>
          <w:b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A contratação com o detentor da ata será formalizada pelo órgão ou entidade participante, observado o disposto neste Termo de Referência e na Ata de Registro de Preço.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4.2.</w:t>
      </w:r>
      <w:r w:rsidRPr="00B77D4F">
        <w:rPr>
          <w:rFonts w:ascii="Bookman Old Style" w:hAnsi="Bookman Old Style"/>
          <w:b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Condições de entrega</w:t>
      </w:r>
    </w:p>
    <w:p w:rsidR="0089416B" w:rsidRPr="00B77D4F" w:rsidRDefault="0089416B" w:rsidP="0089416B">
      <w:pPr>
        <w:pStyle w:val="Nivel2"/>
        <w:spacing w:before="0" w:after="0" w:line="240" w:lineRule="auto"/>
        <w:rPr>
          <w:rFonts w:ascii="Bookman Old Style" w:hAnsi="Bookman Old Style"/>
          <w:iCs/>
          <w:color w:val="auto"/>
          <w:sz w:val="24"/>
          <w:szCs w:val="24"/>
        </w:rPr>
      </w:pPr>
      <w:r w:rsidRPr="00B77D4F">
        <w:rPr>
          <w:rFonts w:ascii="Bookman Old Style" w:hAnsi="Bookman Old Style"/>
          <w:b/>
          <w:iCs/>
          <w:sz w:val="24"/>
          <w:szCs w:val="24"/>
        </w:rPr>
        <w:t>4.2.1.</w:t>
      </w:r>
      <w:r w:rsidRPr="00B77D4F">
        <w:rPr>
          <w:rFonts w:ascii="Bookman Old Style" w:hAnsi="Bookman Old Style"/>
          <w:iCs/>
          <w:sz w:val="24"/>
          <w:szCs w:val="24"/>
        </w:rPr>
        <w:t xml:space="preserve"> Cada entrega deverá ser efetuada mediante o instrumento de solicitação por escrito, formalizado pela contratante, através </w:t>
      </w:r>
      <w:r w:rsidRPr="00B77D4F">
        <w:rPr>
          <w:rFonts w:ascii="Bookman Old Style" w:hAnsi="Bookman Old Style"/>
          <w:iCs/>
          <w:color w:val="auto"/>
          <w:sz w:val="24"/>
          <w:szCs w:val="24"/>
        </w:rPr>
        <w:t xml:space="preserve">da Autorização de fornecimento, na forma </w:t>
      </w:r>
      <w:r w:rsidRPr="00B77D4F">
        <w:rPr>
          <w:rFonts w:ascii="Bookman Old Style" w:hAnsi="Bookman Old Style"/>
          <w:iCs/>
          <w:sz w:val="24"/>
          <w:szCs w:val="24"/>
        </w:rPr>
        <w:t>e prazo especificado no item 4.2.2 do presente Termo de Referência. D</w:t>
      </w:r>
      <w:r w:rsidRPr="00B77D4F">
        <w:rPr>
          <w:rFonts w:ascii="Bookman Old Style" w:hAnsi="Bookman Old Style"/>
          <w:iCs/>
          <w:color w:val="auto"/>
          <w:sz w:val="24"/>
          <w:szCs w:val="24"/>
        </w:rPr>
        <w:t xml:space="preserve">evendo constar a data, o valor unitário da entrega, a quantidade </w:t>
      </w:r>
      <w:r w:rsidRPr="00B77D4F">
        <w:rPr>
          <w:rFonts w:ascii="Bookman Old Style" w:hAnsi="Bookman Old Style"/>
          <w:iCs/>
          <w:color w:val="auto"/>
          <w:sz w:val="24"/>
          <w:szCs w:val="24"/>
        </w:rPr>
        <w:lastRenderedPageBreak/>
        <w:t>pretendida, o local para a entrega, o prazo, a assinatura e identificação do responsável, devidamente autorizado pela autoridade superior e acompanhada da nota de empenho ou instrumento equivalente, contendo o número de referência da Ata de Registro de Preço.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 xml:space="preserve">4.2.2. 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 xml:space="preserve">O prazo de entrega dos materiais/equipamentos será de </w:t>
      </w: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>10 (dez) dias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 xml:space="preserve">, contados da Autorização de fornecimento em remessa única. </w:t>
      </w:r>
    </w:p>
    <w:p w:rsidR="0089416B" w:rsidRPr="00B77D4F" w:rsidRDefault="0089416B" w:rsidP="0089416B">
      <w:pPr>
        <w:pStyle w:val="PargrafodaLista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b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 xml:space="preserve">4.3. </w:t>
      </w: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>Do local e horário de entrega/execução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>:</w:t>
      </w: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 xml:space="preserve"> </w:t>
      </w:r>
    </w:p>
    <w:p w:rsidR="0089416B" w:rsidRPr="00B77D4F" w:rsidRDefault="0089416B" w:rsidP="0089416B">
      <w:pPr>
        <w:pStyle w:val="PargrafodaLista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>4.3.1.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 xml:space="preserve">  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ab/>
        <w:t>O local e hora da entrega serão definidos no instrumento de solicitação, descrito no item 4.2.1.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>4.3.2.</w:t>
      </w: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Caso não seja possível a entrega na data assinalada, a contratada deverá comunicar as suas razões, com a devida comprovação, com pelo menos 05 (cinco) dias de antecedência, para que qualquer pleito de prorrogação de prazo seja analisado, ressalvadas as situações de caso fortuito e força maior.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iCs/>
          <w:sz w:val="24"/>
          <w:szCs w:val="24"/>
        </w:rPr>
        <w:t>4.3.3.</w:t>
      </w:r>
      <w:r w:rsidRPr="00B77D4F">
        <w:rPr>
          <w:rFonts w:ascii="Bookman Old Style" w:hAnsi="Bookman Old Style"/>
          <w:b/>
          <w:iCs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A contratada obriga-se a entregar o objeto em conformidade com as especificações descritas na Proposta de Preços e neste Termo de Referência, sendo de sua inteira responsabilidade a substituição, caso não esteja em conformidade com as referidas especificações.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4.3.4.</w:t>
      </w:r>
      <w:r w:rsidRPr="00B77D4F">
        <w:rPr>
          <w:rFonts w:ascii="Bookman Old Style" w:hAnsi="Bookman Old Style"/>
          <w:sz w:val="24"/>
          <w:szCs w:val="24"/>
        </w:rPr>
        <w:tab/>
        <w:t xml:space="preserve">Todas as despesas relativas à entrega e transporte dos objetos licitados, bem como todos os impostos, taxas e demais despesas decorrentes do contrato, serão por conta exclusiva da contratada. 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4.3.5.</w:t>
      </w:r>
      <w:r w:rsidRPr="00B77D4F">
        <w:rPr>
          <w:rFonts w:ascii="Bookman Old Style" w:hAnsi="Bookman Old Style"/>
          <w:b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Os objetos deverão ser entregues embalados, de forma a não serem danificados durante as operações de transporte e descarga no local da entrega.</w:t>
      </w:r>
    </w:p>
    <w:p w:rsidR="0089416B" w:rsidRPr="00B77D4F" w:rsidRDefault="0089416B" w:rsidP="0089416B">
      <w:pPr>
        <w:pStyle w:val="Listadecontinuao3"/>
        <w:spacing w:after="0" w:line="240" w:lineRule="auto"/>
        <w:ind w:left="0"/>
        <w:jc w:val="both"/>
        <w:rPr>
          <w:rFonts w:ascii="Bookman Old Style" w:hAnsi="Bookman Old Style"/>
          <w:b/>
          <w:i/>
          <w:sz w:val="24"/>
          <w:szCs w:val="24"/>
          <w:highlight w:val="yellow"/>
        </w:rPr>
      </w:pPr>
    </w:p>
    <w:p w:rsidR="0089416B" w:rsidRPr="00B77D4F" w:rsidRDefault="0089416B" w:rsidP="0089416B">
      <w:pPr>
        <w:pStyle w:val="PargrafodaLista"/>
        <w:widowControl w:val="0"/>
        <w:numPr>
          <w:ilvl w:val="0"/>
          <w:numId w:val="28"/>
        </w:numPr>
        <w:autoSpaceDE w:val="0"/>
        <w:autoSpaceDN w:val="0"/>
        <w:spacing w:after="0" w:line="240" w:lineRule="auto"/>
        <w:ind w:left="0" w:right="-1" w:firstLine="0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 xml:space="preserve">DOS CRITÉRIOS DE MEDIÇÃO E PAGAMENTO 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  <w:proofErr w:type="gramStart"/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>5.1 .</w:t>
      </w:r>
      <w:proofErr w:type="gramEnd"/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 xml:space="preserve"> Para a medição do objeto, sendo o caso de cronograma de execução, este será anexo do contrato e deverá ser observado no processo de fiscalização.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Bookman Old Style" w:hAnsi="Bookman Old Style" w:cs="Calibri"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 xml:space="preserve">5.2. </w:t>
      </w:r>
      <w:r w:rsidRPr="00B77D4F">
        <w:rPr>
          <w:rFonts w:ascii="Bookman Old Style" w:hAnsi="Bookman Old Style" w:cs="Calibri"/>
          <w:color w:val="0D0D0D"/>
          <w:sz w:val="24"/>
          <w:szCs w:val="24"/>
        </w:rPr>
        <w:t xml:space="preserve">Recebida a Nota Fiscal ou documento de cobrança equivalente deverão ser observadas as seguintes informações: </w:t>
      </w:r>
    </w:p>
    <w:p w:rsidR="0089416B" w:rsidRPr="00B77D4F" w:rsidRDefault="0089416B" w:rsidP="0089416B">
      <w:pPr>
        <w:pStyle w:val="List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B77D4F">
        <w:rPr>
          <w:rFonts w:ascii="Bookman Old Style" w:hAnsi="Bookman Old Style"/>
          <w:sz w:val="24"/>
          <w:szCs w:val="24"/>
        </w:rPr>
        <w:t>número</w:t>
      </w:r>
      <w:proofErr w:type="gramEnd"/>
      <w:r w:rsidRPr="00B77D4F">
        <w:rPr>
          <w:rFonts w:ascii="Bookman Old Style" w:hAnsi="Bookman Old Style"/>
          <w:sz w:val="24"/>
          <w:szCs w:val="24"/>
        </w:rPr>
        <w:t xml:space="preserve"> do contrato ou número do empenho; </w:t>
      </w:r>
    </w:p>
    <w:p w:rsidR="0089416B" w:rsidRPr="00B77D4F" w:rsidRDefault="0089416B" w:rsidP="0089416B">
      <w:pPr>
        <w:pStyle w:val="List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B77D4F">
        <w:rPr>
          <w:rFonts w:ascii="Bookman Old Style" w:hAnsi="Bookman Old Style"/>
          <w:sz w:val="24"/>
          <w:szCs w:val="24"/>
        </w:rPr>
        <w:t>número</w:t>
      </w:r>
      <w:proofErr w:type="gramEnd"/>
      <w:r w:rsidRPr="00B77D4F">
        <w:rPr>
          <w:rFonts w:ascii="Bookman Old Style" w:hAnsi="Bookman Old Style"/>
          <w:sz w:val="24"/>
          <w:szCs w:val="24"/>
        </w:rPr>
        <w:t xml:space="preserve"> do processo; </w:t>
      </w:r>
    </w:p>
    <w:p w:rsidR="0089416B" w:rsidRPr="00B77D4F" w:rsidRDefault="0089416B" w:rsidP="0089416B">
      <w:pPr>
        <w:pStyle w:val="Lista3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proofErr w:type="gramStart"/>
      <w:r w:rsidRPr="00B77D4F">
        <w:rPr>
          <w:rFonts w:ascii="Bookman Old Style" w:hAnsi="Bookman Old Style"/>
          <w:sz w:val="24"/>
          <w:szCs w:val="24"/>
        </w:rPr>
        <w:t>número</w:t>
      </w:r>
      <w:proofErr w:type="gramEnd"/>
      <w:r w:rsidRPr="00B77D4F">
        <w:rPr>
          <w:rFonts w:ascii="Bookman Old Style" w:hAnsi="Bookman Old Style"/>
          <w:sz w:val="24"/>
          <w:szCs w:val="24"/>
        </w:rPr>
        <w:t xml:space="preserve"> da licitação;</w:t>
      </w:r>
    </w:p>
    <w:p w:rsidR="0089416B" w:rsidRPr="00B77D4F" w:rsidRDefault="0089416B" w:rsidP="0089416B">
      <w:pPr>
        <w:pStyle w:val="Corpodetexto21"/>
        <w:widowControl w:val="0"/>
        <w:spacing w:line="240" w:lineRule="auto"/>
        <w:ind w:right="-1" w:firstLine="0"/>
        <w:rPr>
          <w:rFonts w:ascii="Bookman Old Style" w:hAnsi="Bookman Old Style" w:cs="Arial"/>
          <w:color w:val="000000"/>
          <w:szCs w:val="24"/>
        </w:rPr>
      </w:pPr>
      <w:r w:rsidRPr="00B77D4F">
        <w:rPr>
          <w:rFonts w:ascii="Bookman Old Style" w:hAnsi="Bookman Old Style" w:cs="Arial"/>
          <w:b/>
          <w:bCs/>
          <w:szCs w:val="24"/>
          <w:lang w:eastAsia="pt-BR"/>
        </w:rPr>
        <w:t>5.3</w:t>
      </w:r>
      <w:r w:rsidRPr="00B77D4F">
        <w:rPr>
          <w:rFonts w:ascii="Bookman Old Style" w:hAnsi="Bookman Old Style" w:cs="Arial"/>
          <w:szCs w:val="24"/>
          <w:lang w:eastAsia="pt-BR"/>
        </w:rPr>
        <w:t xml:space="preserve">. </w:t>
      </w:r>
      <w:r w:rsidRPr="00B77D4F">
        <w:rPr>
          <w:rFonts w:ascii="Bookman Old Style" w:hAnsi="Bookman Old Style" w:cs="Arial"/>
          <w:color w:val="000000"/>
          <w:szCs w:val="24"/>
        </w:rPr>
        <w:t>A Contratada, durante toda a execução do contrato, deverá manter todas as condições de habilitação e qualificação exigidas na licitação.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color w:val="FF0000"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5.4.</w:t>
      </w:r>
      <w:r w:rsidRPr="00B77D4F">
        <w:rPr>
          <w:rFonts w:ascii="Bookman Old Style" w:hAnsi="Bookman Old Style"/>
          <w:sz w:val="24"/>
          <w:szCs w:val="24"/>
        </w:rPr>
        <w:tab/>
        <w:t xml:space="preserve">A nota fiscal ou instrumento de cobrança equivalente deverá estar obrigatoriamente acompanhada da comprovação da regularidade fiscal, constatada pela Contratante, mediante consulta aos sítios eletrônicos oficiais ou à documentação mencionada no </w:t>
      </w:r>
      <w:hyperlink r:id="rId8" w:anchor=":~:text=Art.%2068.%20As,da%20legisla%C3%A7%C3%A3o%20espec%C3%ADfica." w:history="1">
        <w:r w:rsidRPr="00B77D4F">
          <w:rPr>
            <w:rStyle w:val="Hyperlink"/>
            <w:rFonts w:ascii="Bookman Old Style" w:hAnsi="Bookman Old Style" w:cs="Calibri"/>
            <w:sz w:val="24"/>
            <w:szCs w:val="24"/>
          </w:rPr>
          <w:t>art. 68 da Lei 14.133, de 2021</w:t>
        </w:r>
      </w:hyperlink>
      <w:r w:rsidRPr="00B77D4F">
        <w:rPr>
          <w:rFonts w:ascii="Bookman Old Style" w:hAnsi="Bookman Old Style"/>
          <w:sz w:val="24"/>
          <w:szCs w:val="24"/>
        </w:rPr>
        <w:t xml:space="preserve">.   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bCs/>
          <w:color w:val="0D0D0D"/>
          <w:sz w:val="24"/>
          <w:szCs w:val="24"/>
        </w:rPr>
        <w:t>5.4.1.</w:t>
      </w:r>
      <w:r w:rsidRPr="00B77D4F">
        <w:rPr>
          <w:rFonts w:ascii="Bookman Old Style" w:hAnsi="Bookman Old Style"/>
          <w:bCs/>
          <w:color w:val="0D0D0D"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 xml:space="preserve">Em caso de irregularidade do contratado, será efetuada sua notificação, por escrito, para que, no prazo de </w:t>
      </w:r>
      <w:r w:rsidRPr="00B77D4F">
        <w:rPr>
          <w:rFonts w:ascii="Bookman Old Style" w:hAnsi="Bookman Old Style"/>
          <w:b/>
          <w:bCs/>
          <w:sz w:val="24"/>
          <w:szCs w:val="24"/>
        </w:rPr>
        <w:t>10 (dez) dias</w:t>
      </w:r>
      <w:r w:rsidRPr="00B77D4F">
        <w:rPr>
          <w:rFonts w:ascii="Bookman Old Style" w:hAnsi="Bookman Old Style"/>
          <w:sz w:val="24"/>
          <w:szCs w:val="24"/>
        </w:rPr>
        <w:t>, sejam sanadas as respectivas pendências ou, no mesmo prazo, apresente sua defesa.</w:t>
      </w:r>
    </w:p>
    <w:p w:rsidR="0089416B" w:rsidRPr="00B77D4F" w:rsidRDefault="0089416B" w:rsidP="0089416B">
      <w:pPr>
        <w:pStyle w:val="Lista4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5.4.1.1.</w:t>
      </w:r>
      <w:r w:rsidRPr="00B77D4F">
        <w:rPr>
          <w:rFonts w:ascii="Bookman Old Style" w:hAnsi="Bookman Old Style"/>
          <w:sz w:val="24"/>
          <w:szCs w:val="24"/>
        </w:rPr>
        <w:tab/>
        <w:t>O prazo poderá ser prorrogado uma vez, por igual período, a critério do contratante.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5.4.2.</w:t>
      </w:r>
      <w:r w:rsidRPr="00B77D4F">
        <w:rPr>
          <w:rFonts w:ascii="Bookman Old Style" w:hAnsi="Bookman Old Style"/>
          <w:sz w:val="24"/>
          <w:szCs w:val="24"/>
        </w:rPr>
        <w:tab/>
        <w:t xml:space="preserve">Não havendo regularização ou sendo a defesa considerada improcedente, o contratante deverá comunicar à equipe de fiscalização quanto à inadimplência do contratado, bem como quanto à existência de pagamento a ser </w:t>
      </w:r>
      <w:r w:rsidRPr="00B77D4F">
        <w:rPr>
          <w:rFonts w:ascii="Bookman Old Style" w:hAnsi="Bookman Old Style"/>
          <w:sz w:val="24"/>
          <w:szCs w:val="24"/>
        </w:rPr>
        <w:lastRenderedPageBreak/>
        <w:t>efetuado, para que sejam acionados os meios pertinentes e necessários para garantir o recebimento de seus créditos, de acordo com a efetiva execução do objeto.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5.4.3.</w:t>
      </w:r>
      <w:r w:rsidRPr="00B77D4F">
        <w:rPr>
          <w:rFonts w:ascii="Bookman Old Style" w:hAnsi="Bookman Old Style"/>
          <w:sz w:val="24"/>
          <w:szCs w:val="24"/>
        </w:rPr>
        <w:tab/>
        <w:t>Persistindo a irregularidade, a contratante, em decisão fundamentada, deverá aplicar a penalidade cabível nos autos do processo administrativo correspondente.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5.5.</w:t>
      </w:r>
      <w:r w:rsidRPr="00B77D4F">
        <w:rPr>
          <w:rFonts w:ascii="Bookman Old Style" w:hAnsi="Bookman Old Style"/>
          <w:b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A empresa contratada deverá observar a forma de remessa da NF e demais documentos que devem acompanhá-la.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b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5.6.</w:t>
      </w:r>
      <w:r w:rsidRPr="00B77D4F">
        <w:rPr>
          <w:rFonts w:ascii="Bookman Old Style" w:hAnsi="Bookman Old Style"/>
          <w:b/>
          <w:sz w:val="24"/>
          <w:szCs w:val="24"/>
        </w:rPr>
        <w:tab/>
        <w:t>DO PAGAMENTO: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ar-SA"/>
        </w:rPr>
      </w:pPr>
      <w:r w:rsidRPr="00B77D4F">
        <w:rPr>
          <w:rFonts w:ascii="Bookman Old Style" w:hAnsi="Bookman Old Style"/>
          <w:b/>
          <w:bCs/>
          <w:color w:val="000000"/>
          <w:sz w:val="24"/>
          <w:szCs w:val="24"/>
        </w:rPr>
        <w:t>5.6.1</w:t>
      </w:r>
      <w:r w:rsidRPr="00B77D4F">
        <w:rPr>
          <w:rFonts w:ascii="Bookman Old Style" w:hAnsi="Bookman Old Style"/>
          <w:color w:val="000000"/>
          <w:sz w:val="24"/>
          <w:szCs w:val="24"/>
        </w:rPr>
        <w:t>.</w:t>
      </w:r>
      <w:r w:rsidRPr="00B77D4F">
        <w:rPr>
          <w:rFonts w:ascii="Bookman Old Style" w:hAnsi="Bookman Old Style"/>
          <w:color w:val="000000"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  <w:lang w:eastAsia="ar-SA"/>
        </w:rPr>
        <w:t xml:space="preserve">O pagamento, decorrente do fornecimento do objeto do Contrato, será efetuado mediante crédito em conta corrente, no prazo de </w:t>
      </w:r>
      <w:r w:rsidRPr="00B77D4F">
        <w:rPr>
          <w:rFonts w:ascii="Bookman Old Style" w:hAnsi="Bookman Old Style"/>
          <w:b/>
          <w:sz w:val="24"/>
          <w:szCs w:val="24"/>
          <w:lang w:eastAsia="ar-SA"/>
        </w:rPr>
        <w:t>até 20 (vinte) dias</w:t>
      </w:r>
      <w:r w:rsidRPr="00B77D4F">
        <w:rPr>
          <w:rFonts w:ascii="Bookman Old Style" w:hAnsi="Bookman Old Style"/>
          <w:sz w:val="24"/>
          <w:szCs w:val="24"/>
          <w:lang w:eastAsia="ar-SA"/>
        </w:rPr>
        <w:t>, contados da liquidação.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eastAsia="Times New Roman" w:hAnsi="Bookman Old Style"/>
          <w:b/>
          <w:bCs/>
          <w:sz w:val="24"/>
          <w:szCs w:val="24"/>
          <w:lang w:eastAsia="ar-SA"/>
        </w:rPr>
        <w:t>5.6.2</w:t>
      </w:r>
      <w:r w:rsidRPr="00B77D4F">
        <w:rPr>
          <w:rFonts w:ascii="Bookman Old Style" w:eastAsia="Times New Roman" w:hAnsi="Bookman Old Style"/>
          <w:sz w:val="24"/>
          <w:szCs w:val="24"/>
          <w:lang w:eastAsia="ar-SA"/>
        </w:rPr>
        <w:t>.</w:t>
      </w:r>
      <w:r w:rsidRPr="00B77D4F">
        <w:rPr>
          <w:rFonts w:ascii="Bookman Old Style" w:eastAsia="Times New Roman" w:hAnsi="Bookman Old Style"/>
          <w:sz w:val="24"/>
          <w:szCs w:val="24"/>
          <w:lang w:eastAsia="ar-SA"/>
        </w:rPr>
        <w:tab/>
      </w:r>
      <w:r w:rsidRPr="00B77D4F">
        <w:rPr>
          <w:rFonts w:ascii="Bookman Old Style" w:hAnsi="Bookman Old Style"/>
          <w:sz w:val="24"/>
          <w:szCs w:val="24"/>
        </w:rPr>
        <w:t xml:space="preserve">O documento de cobrança da Contratada será mediante nota fiscal/fatura, cujo crédito será realizado na conta corrente indicada pela Contratada. 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>5.6.3.</w:t>
      </w:r>
      <w:r w:rsidRPr="00B77D4F">
        <w:rPr>
          <w:rFonts w:ascii="Bookman Old Style" w:hAnsi="Bookman Old Style" w:cs="Calibri"/>
          <w:b/>
          <w:color w:val="0D0D0D"/>
          <w:sz w:val="24"/>
          <w:szCs w:val="24"/>
        </w:rPr>
        <w:tab/>
      </w:r>
      <w:r w:rsidRPr="00B77D4F">
        <w:rPr>
          <w:rFonts w:ascii="Bookman Old Style" w:hAnsi="Bookman Old Style"/>
          <w:sz w:val="24"/>
          <w:szCs w:val="24"/>
        </w:rPr>
        <w:t>Será considerada data do pagamento o dia em que constar como emitida a ordem bancária para pagamento.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5.6.4.</w:t>
      </w:r>
      <w:r w:rsidRPr="00B77D4F">
        <w:rPr>
          <w:rFonts w:ascii="Bookman Old Style" w:hAnsi="Bookman Old Style"/>
          <w:b/>
          <w:sz w:val="24"/>
          <w:szCs w:val="24"/>
          <w:lang w:eastAsia="pt-BR"/>
        </w:rPr>
        <w:tab/>
      </w:r>
      <w:r w:rsidRPr="00B77D4F">
        <w:rPr>
          <w:rFonts w:ascii="Bookman Old Style" w:hAnsi="Bookman Old Style"/>
          <w:sz w:val="24"/>
          <w:szCs w:val="24"/>
          <w:lang w:eastAsia="pt-BR"/>
        </w:rPr>
        <w:t>Se for constatado erro ou irregularidade na nota fiscal/fatura, a Contratante, a seu critério, poderá devolvê-la para as devidas correções, ou aceitá-la, com a glosa da parte que considerar indevida, nesta hipótese, o prazo para pagamento iniciar-se-á após a regularização da situação ou reapresentação do documento fiscal, não acarretando qualquer ônus para a Contratante.</w:t>
      </w:r>
    </w:p>
    <w:p w:rsidR="0089416B" w:rsidRPr="00B77D4F" w:rsidRDefault="0089416B" w:rsidP="0089416B">
      <w:pPr>
        <w:pStyle w:val="Lista4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sz w:val="24"/>
          <w:szCs w:val="24"/>
          <w:lang w:eastAsia="pt-BR"/>
        </w:rPr>
        <w:t>5.6.4.1.</w:t>
      </w:r>
      <w:r w:rsidRPr="00B77D4F">
        <w:rPr>
          <w:rFonts w:ascii="Bookman Old Style" w:hAnsi="Bookman Old Style"/>
          <w:b/>
          <w:sz w:val="24"/>
          <w:szCs w:val="24"/>
          <w:lang w:eastAsia="pt-BR"/>
        </w:rPr>
        <w:tab/>
      </w:r>
      <w:r w:rsidRPr="00B77D4F">
        <w:rPr>
          <w:rFonts w:ascii="Bookman Old Style" w:hAnsi="Bookman Old Style"/>
          <w:sz w:val="24"/>
          <w:szCs w:val="24"/>
          <w:lang w:eastAsia="pt-BR"/>
        </w:rPr>
        <w:t>Na hipótese de devolução, a nota fiscal/fatura será considerada como não apresentada, para fins de atendimento das condições contratuais.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bCs/>
          <w:sz w:val="24"/>
          <w:szCs w:val="24"/>
          <w:lang w:eastAsia="pt-BR"/>
        </w:rPr>
        <w:t>5.6.5.</w:t>
      </w:r>
      <w:r w:rsidRPr="00B77D4F">
        <w:rPr>
          <w:rFonts w:ascii="Bookman Old Style" w:hAnsi="Bookman Old Style"/>
          <w:b/>
          <w:bCs/>
          <w:sz w:val="24"/>
          <w:szCs w:val="24"/>
          <w:lang w:eastAsia="pt-BR"/>
        </w:rPr>
        <w:tab/>
      </w:r>
      <w:r w:rsidRPr="00B77D4F">
        <w:rPr>
          <w:rFonts w:ascii="Bookman Old Style" w:hAnsi="Bookman Old Style"/>
          <w:sz w:val="24"/>
          <w:szCs w:val="24"/>
          <w:lang w:eastAsia="pt-BR"/>
        </w:rPr>
        <w:t>A Contratante não pagará, sem que tenha autorização prévia e formal, qualquer compromisso que lhe venha a ser cobrado diretamente por terceiros, sejam ou não instituições financeiras.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bCs/>
          <w:sz w:val="24"/>
          <w:szCs w:val="24"/>
          <w:lang w:eastAsia="pt-BR"/>
        </w:rPr>
        <w:t>5.6.6.</w:t>
      </w:r>
      <w:r w:rsidRPr="00B77D4F">
        <w:rPr>
          <w:rFonts w:ascii="Bookman Old Style" w:hAnsi="Bookman Old Style"/>
          <w:sz w:val="24"/>
          <w:szCs w:val="24"/>
          <w:lang w:eastAsia="pt-BR"/>
        </w:rPr>
        <w:tab/>
        <w:t>Os eventuais encargos financeiros, processuais e outros, decorrentes da inobservância, pela Contratada, de prazo de pagamento, serão de sua exclusiva responsabilidade.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  <w:lang w:eastAsia="pt-BR"/>
        </w:rPr>
      </w:pPr>
      <w:r w:rsidRPr="00B77D4F">
        <w:rPr>
          <w:rFonts w:ascii="Bookman Old Style" w:hAnsi="Bookman Old Style"/>
          <w:b/>
          <w:bCs/>
          <w:sz w:val="24"/>
          <w:szCs w:val="24"/>
          <w:lang w:eastAsia="pt-BR"/>
        </w:rPr>
        <w:t>5.6.7.</w:t>
      </w:r>
      <w:r w:rsidRPr="00B77D4F">
        <w:rPr>
          <w:rFonts w:ascii="Bookman Old Style" w:hAnsi="Bookman Old Style"/>
          <w:b/>
          <w:bCs/>
          <w:sz w:val="24"/>
          <w:szCs w:val="24"/>
          <w:lang w:eastAsia="pt-BR"/>
        </w:rPr>
        <w:tab/>
      </w:r>
      <w:r w:rsidRPr="00B77D4F">
        <w:rPr>
          <w:rFonts w:ascii="Bookman Old Style" w:hAnsi="Bookman Old Style"/>
          <w:sz w:val="24"/>
          <w:szCs w:val="24"/>
          <w:lang w:eastAsia="pt-BR"/>
        </w:rPr>
        <w:t>A Contratante efetuará retenção, na fonte, dos tributos e contribuições sobre todos os pagamentos devidos à Contratada, na forma da legislação aplicável.</w:t>
      </w:r>
    </w:p>
    <w:p w:rsidR="0089416B" w:rsidRPr="00B77D4F" w:rsidRDefault="0089416B" w:rsidP="0089416B">
      <w:pPr>
        <w:pStyle w:val="Corpodetexto21"/>
        <w:widowControl w:val="0"/>
        <w:spacing w:line="240" w:lineRule="auto"/>
        <w:ind w:firstLine="0"/>
        <w:rPr>
          <w:rFonts w:ascii="Bookman Old Style" w:hAnsi="Bookman Old Style" w:cs="Arial"/>
          <w:szCs w:val="24"/>
        </w:rPr>
      </w:pPr>
      <w:r w:rsidRPr="00B77D4F">
        <w:rPr>
          <w:rFonts w:ascii="Bookman Old Style" w:hAnsi="Bookman Old Style" w:cs="Arial"/>
          <w:b/>
          <w:bCs/>
          <w:szCs w:val="24"/>
        </w:rPr>
        <w:t>5.6.8</w:t>
      </w:r>
      <w:r w:rsidRPr="00B77D4F">
        <w:rPr>
          <w:rFonts w:ascii="Bookman Old Style" w:hAnsi="Bookman Old Style" w:cs="Arial"/>
          <w:szCs w:val="24"/>
        </w:rPr>
        <w:t xml:space="preserve">. </w:t>
      </w:r>
      <w:r w:rsidRPr="00B77D4F">
        <w:rPr>
          <w:rFonts w:ascii="Bookman Old Style" w:hAnsi="Bookman Old Style" w:cs="Arial"/>
          <w:szCs w:val="24"/>
        </w:rPr>
        <w:tab/>
        <w:t>Será efetuada a glosa no pagamento, proporcional à irregularidade verificada, sem prejuízo das sanções cabíveis, caso se constate que a contratada:</w:t>
      </w:r>
    </w:p>
    <w:p w:rsidR="0089416B" w:rsidRPr="00B77D4F" w:rsidRDefault="0089416B" w:rsidP="0089416B">
      <w:pPr>
        <w:pStyle w:val="Corpodetexto21"/>
        <w:widowControl w:val="0"/>
        <w:spacing w:line="240" w:lineRule="auto"/>
        <w:ind w:firstLine="0"/>
        <w:rPr>
          <w:rFonts w:ascii="Bookman Old Style" w:hAnsi="Bookman Old Style" w:cs="Arial"/>
          <w:szCs w:val="24"/>
        </w:rPr>
      </w:pPr>
      <w:r w:rsidRPr="00B77D4F">
        <w:rPr>
          <w:rFonts w:ascii="Bookman Old Style" w:hAnsi="Bookman Old Style" w:cs="Arial"/>
          <w:b/>
          <w:bCs/>
          <w:szCs w:val="24"/>
        </w:rPr>
        <w:t>5.6.8.1.</w:t>
      </w:r>
      <w:r w:rsidRPr="00B77D4F">
        <w:rPr>
          <w:rFonts w:ascii="Bookman Old Style" w:hAnsi="Bookman Old Style" w:cs="Arial"/>
          <w:szCs w:val="24"/>
        </w:rPr>
        <w:t xml:space="preserve"> </w:t>
      </w:r>
      <w:r w:rsidRPr="00B77D4F">
        <w:rPr>
          <w:rFonts w:ascii="Bookman Old Style" w:hAnsi="Bookman Old Style" w:cs="Arial"/>
          <w:szCs w:val="24"/>
        </w:rPr>
        <w:tab/>
        <w:t>Não produziu os resultados acordados ou deixe de executar as atividades contratadas ou não as executou com a qualidade mínima exigida.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5.6.9</w:t>
      </w:r>
      <w:r w:rsidRPr="00B77D4F">
        <w:rPr>
          <w:rFonts w:ascii="Bookman Old Style" w:hAnsi="Bookman Old Style"/>
          <w:sz w:val="24"/>
          <w:szCs w:val="24"/>
        </w:rPr>
        <w:t>.</w:t>
      </w:r>
      <w:r w:rsidRPr="00B77D4F">
        <w:rPr>
          <w:rFonts w:ascii="Bookman Old Style" w:hAnsi="Bookman Old Style"/>
          <w:sz w:val="24"/>
          <w:szCs w:val="24"/>
        </w:rPr>
        <w:tab/>
        <w:t>Em se tratando de execução de recursos da União decorrente de transferência voluntária, as regras de pagamento atenderão ao regramento próprio editado por aquele ente.</w:t>
      </w:r>
    </w:p>
    <w:p w:rsidR="0089416B" w:rsidRPr="00B77D4F" w:rsidRDefault="0089416B" w:rsidP="0089416B">
      <w:pPr>
        <w:pStyle w:val="Lista3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 xml:space="preserve">6. DO PLANO </w:t>
      </w: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DE FISCALIZAÇÃO/GESTÃO DO CONTRATO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6.1.</w:t>
      </w:r>
      <w:r w:rsidRPr="00B77D4F">
        <w:rPr>
          <w:rFonts w:ascii="Bookman Old Style" w:hAnsi="Bookman Old Style"/>
          <w:sz w:val="24"/>
          <w:szCs w:val="24"/>
        </w:rPr>
        <w:tab/>
        <w:t xml:space="preserve">Nos termos do art. 117 da Lei 14.133, de 2021, será designado representante para acompanhar e fiscalizar a execução da contratação, </w:t>
      </w:r>
      <w:r w:rsidRPr="00B77D4F">
        <w:rPr>
          <w:rFonts w:ascii="Bookman Old Style" w:hAnsi="Bookman Old Style"/>
          <w:sz w:val="24"/>
          <w:szCs w:val="24"/>
        </w:rPr>
        <w:lastRenderedPageBreak/>
        <w:t>anotando em registro próprio todas as ocorrências relacionadas, e determinando o que for necessário à regularização de falhas ou defeitos observados.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6.2.</w:t>
      </w:r>
      <w:r w:rsidRPr="00B77D4F">
        <w:rPr>
          <w:rFonts w:ascii="Bookman Old Style" w:hAnsi="Bookman Old Style"/>
          <w:sz w:val="24"/>
          <w:szCs w:val="24"/>
        </w:rPr>
        <w:tab/>
        <w:t>O fiscal de contrato desenvolverá as suas atribuições na conformidade do Plano de Fiscalização e para facilitação da fiscalização e a gestão do contrato, o município desenvolveu o Plano Básico de Fiscalização, inserindo as ações a serem adotadas pela equipe de fiscalização, visando inibir a incidência dos riscos comuns a todo objeto, devidamente inserido no item “gerenciamento de riscos” do relatório do estudo técnico.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bCs/>
          <w:sz w:val="24"/>
          <w:szCs w:val="24"/>
        </w:rPr>
        <w:t>6.3.</w:t>
      </w:r>
      <w:r w:rsidRPr="00B77D4F">
        <w:rPr>
          <w:rFonts w:ascii="Bookman Old Style" w:hAnsi="Bookman Old Style"/>
          <w:sz w:val="24"/>
          <w:szCs w:val="24"/>
        </w:rPr>
        <w:tab/>
        <w:t>Para a efetividade e eficiência da execução contratual, o contratado deverá apresentar preposto devidamente qualificado e manter atualizado o seu contato eletrônico, sendo que a comunicação entre a equipe de fiscalização e o preposto se dará principalmente por via de e-mail informados no contrato, sendo de responsabilidade da contratada manter o endereço eletrônico atualizado.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>6.4.</w:t>
      </w:r>
      <w:r w:rsidRPr="00B77D4F">
        <w:rPr>
          <w:rFonts w:ascii="Bookman Old Style" w:hAnsi="Bookman Old Style"/>
          <w:sz w:val="24"/>
          <w:szCs w:val="24"/>
        </w:rPr>
        <w:tab/>
        <w:t xml:space="preserve">Havendo ações específicas ao objeto necessárias à fiscalização do contrato, estas constarão do item “Do Gerenciamento de Riscos” no relatório do ETP, </w:t>
      </w:r>
      <w:r w:rsidRPr="00B77D4F">
        <w:rPr>
          <w:rFonts w:ascii="Bookman Old Style" w:hAnsi="Bookman Old Style"/>
          <w:i/>
          <w:sz w:val="24"/>
          <w:szCs w:val="24"/>
        </w:rPr>
        <w:t>se for o caso</w:t>
      </w:r>
      <w:r w:rsidRPr="00B77D4F">
        <w:rPr>
          <w:rFonts w:ascii="Bookman Old Style" w:hAnsi="Bookman Old Style"/>
          <w:sz w:val="24"/>
          <w:szCs w:val="24"/>
        </w:rPr>
        <w:t>, e na Ata de RP.</w:t>
      </w:r>
    </w:p>
    <w:p w:rsidR="0089416B" w:rsidRPr="00B77D4F" w:rsidRDefault="0089416B" w:rsidP="0089416B">
      <w:pPr>
        <w:pStyle w:val="Lista2"/>
        <w:spacing w:after="0" w:line="240" w:lineRule="auto"/>
        <w:ind w:left="0" w:firstLine="0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89416B">
      <w:pPr>
        <w:pStyle w:val="Corpodetexto"/>
        <w:rPr>
          <w:rFonts w:ascii="Bookman Old Style" w:hAnsi="Bookman Old Style"/>
          <w:b/>
          <w:sz w:val="24"/>
          <w:szCs w:val="24"/>
        </w:rPr>
      </w:pPr>
      <w:r w:rsidRPr="00B77D4F">
        <w:rPr>
          <w:rFonts w:ascii="Bookman Old Style" w:hAnsi="Bookman Old Style"/>
          <w:b/>
          <w:sz w:val="24"/>
          <w:szCs w:val="24"/>
        </w:rPr>
        <w:t xml:space="preserve">7.DOS CRITÉRIOS DE SELEÇÃO DO FORNECEDOR 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 xml:space="preserve">7.1. </w:t>
      </w:r>
      <w:r w:rsidRPr="00B77D4F">
        <w:rPr>
          <w:rFonts w:ascii="Bookman Old Style" w:eastAsia="Times New Roman" w:hAnsi="Bookman Old Style" w:cs="Arial"/>
          <w:sz w:val="24"/>
          <w:szCs w:val="24"/>
          <w:lang w:eastAsia="pt-BR"/>
        </w:rPr>
        <w:t>A licitação será dividida em itens, facultando-se ao licitante a participação em quantos itens forem de seu interesse.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7.1.1.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O fornecedor será selecionado por meio da realização de procedimento de LICITAÇÃO, na modalidade PREGÃO, sob a forma PRESENCIAL, com adoção do critério de julgamento </w:t>
      </w:r>
      <w:r w:rsidRPr="00B77D4F">
        <w:rPr>
          <w:rFonts w:ascii="Bookman Old Style" w:hAnsi="Bookman Old Style" w:cs="Calibri"/>
          <w:bCs/>
          <w:iCs/>
          <w:sz w:val="24"/>
          <w:szCs w:val="24"/>
        </w:rPr>
        <w:t>MENOR PREÇO</w:t>
      </w:r>
      <w:r w:rsidRPr="00B77D4F">
        <w:rPr>
          <w:rFonts w:ascii="Bookman Old Style" w:hAnsi="Bookman Old Style" w:cs="Calibri"/>
          <w:bCs/>
          <w:sz w:val="24"/>
          <w:szCs w:val="24"/>
        </w:rPr>
        <w:t>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/>
          <w:sz w:val="24"/>
          <w:szCs w:val="24"/>
        </w:rPr>
      </w:pPr>
      <w:bookmarkStart w:id="0" w:name="_Hlk140739523"/>
      <w:r w:rsidRPr="00B77D4F">
        <w:rPr>
          <w:rFonts w:ascii="Bookman Old Style" w:hAnsi="Bookman Old Style" w:cs="Calibri"/>
          <w:b/>
          <w:sz w:val="24"/>
          <w:szCs w:val="24"/>
        </w:rPr>
        <w:t>7.2. Das Exigências de Habilitação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7.2.1.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Conforme estudo técnico preliminar, além dos documentos gerais a constarem do Edital </w:t>
      </w:r>
      <w:r w:rsidRPr="00B77D4F">
        <w:rPr>
          <w:rFonts w:ascii="Bookman Old Style" w:hAnsi="Bookman Old Style" w:cs="Calibri"/>
          <w:b/>
          <w:bCs/>
          <w:sz w:val="24"/>
          <w:szCs w:val="24"/>
        </w:rPr>
        <w:t>não foram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identificados documentos de habilitação específicos para o objeto.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Cs/>
          <w:sz w:val="24"/>
          <w:szCs w:val="24"/>
        </w:rPr>
      </w:pP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8.DA ESTIMATIVA DO VALOR DA CONTRATAÇÃO</w:t>
      </w:r>
    </w:p>
    <w:p w:rsidR="0089416B" w:rsidRPr="00B77D4F" w:rsidRDefault="0089416B" w:rsidP="0089416B">
      <w:pPr>
        <w:pStyle w:val="PargrafodaLista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 w:firstLine="0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 xml:space="preserve">O valor total estimado da contratação é R$ </w:t>
      </w:r>
      <w:r w:rsidRPr="00B77D4F">
        <w:rPr>
          <w:rFonts w:ascii="Bookman Old Style" w:hAnsi="Bookman Old Style"/>
          <w:b/>
          <w:iCs/>
          <w:sz w:val="24"/>
          <w:szCs w:val="24"/>
        </w:rPr>
        <w:t xml:space="preserve">R$ 206.618,03 (duzentos e seis mil, seiscentos e dezoito reais e três centavos), </w:t>
      </w: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 xml:space="preserve">conforme valor unitário referencial discriminado no item 1.2 deste instrumento, que foi apurado em pesquisa de mercado. 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bCs/>
          <w:color w:val="0D0D0D"/>
          <w:sz w:val="24"/>
          <w:szCs w:val="24"/>
        </w:rPr>
      </w:pPr>
    </w:p>
    <w:p w:rsidR="0089416B" w:rsidRPr="00B77D4F" w:rsidRDefault="0089416B" w:rsidP="006C4AE3">
      <w:pPr>
        <w:spacing w:after="0" w:line="240" w:lineRule="auto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9. DA MANUTENÇÃO DO EQUILÍBRIO ECONÔMICO-FINANCEIRO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9.1.</w:t>
      </w:r>
      <w:r w:rsidRPr="00B77D4F">
        <w:rPr>
          <w:rFonts w:ascii="Bookman Old Style" w:hAnsi="Bookman Old Style" w:cs="Calibri"/>
          <w:sz w:val="24"/>
          <w:szCs w:val="24"/>
        </w:rPr>
        <w:tab/>
        <w:t>Os preços poderão ser revistos a qualquer tempo, para restabelecer o equilíbrio econômico-financeiro inicial do contrato em caso de força maior, caso fortuito ou fato do príncipe ou em decorrência de fatos imprevisíveis ou previsíveis de consequências incalculáveis, que inviabilizem a execução do contrato tal como pactuado, respeitada, em qualquer caso, a repartição objetiva de risco estabelecida no contrato.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9.2.</w:t>
      </w:r>
      <w:r w:rsidRPr="00B77D4F">
        <w:rPr>
          <w:rFonts w:ascii="Bookman Old Style" w:hAnsi="Bookman Old Style" w:cs="Calibri"/>
          <w:sz w:val="24"/>
          <w:szCs w:val="24"/>
        </w:rPr>
        <w:tab/>
        <w:t>Caso haja alteração unilateral do contrato que aumente ou diminua os encargos do contratado, a Administração reestabelecerá o equilíbrio econômico-financeiro inicial concomitantemente à alteração.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9.3.</w:t>
      </w:r>
      <w:r w:rsidRPr="00B77D4F">
        <w:rPr>
          <w:rFonts w:ascii="Bookman Old Style" w:hAnsi="Bookman Old Style" w:cs="Calibri"/>
          <w:sz w:val="24"/>
          <w:szCs w:val="24"/>
        </w:rPr>
        <w:tab/>
        <w:t xml:space="preserve">A Administração analisará o pedido de reestabelecimento do equilíbrio </w:t>
      </w:r>
      <w:r w:rsidRPr="00B77D4F">
        <w:rPr>
          <w:rFonts w:ascii="Bookman Old Style" w:hAnsi="Bookman Old Style" w:cs="Calibri"/>
          <w:sz w:val="24"/>
          <w:szCs w:val="24"/>
        </w:rPr>
        <w:lastRenderedPageBreak/>
        <w:t>econômico financeiro, acompanhado dos devidos cálculos, notas fiscais anteriores, tabelas de preços oficiais e demais documentos comprobatórios pertinentes.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9.4.</w:t>
      </w:r>
      <w:r w:rsidRPr="00B77D4F">
        <w:rPr>
          <w:rFonts w:ascii="Bookman Old Style" w:hAnsi="Bookman Old Style" w:cs="Calibri"/>
          <w:b/>
          <w:sz w:val="24"/>
          <w:szCs w:val="24"/>
        </w:rPr>
        <w:tab/>
      </w:r>
      <w:r w:rsidRPr="00B77D4F">
        <w:rPr>
          <w:rFonts w:ascii="Bookman Old Style" w:hAnsi="Bookman Old Style" w:cs="Calibri"/>
          <w:sz w:val="24"/>
          <w:szCs w:val="24"/>
        </w:rPr>
        <w:t>Após a análise do pedido, e desde que, a autoridade competente ateste que as condições e os preços permanecem vantajosos, a Administração reestabelecerá, mediante termo aditivo, o equilíbrio econômico-financeiro inicial.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9.5.</w:t>
      </w:r>
      <w:r w:rsidRPr="00B77D4F">
        <w:rPr>
          <w:rFonts w:ascii="Bookman Old Style" w:hAnsi="Bookman Old Style" w:cs="Calibri"/>
          <w:sz w:val="24"/>
          <w:szCs w:val="24"/>
        </w:rPr>
        <w:tab/>
        <w:t>Será permitida à Administração a negociação com o contratado ou a extinção contratual sem ônus para qualquer das partes.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9.6.</w:t>
      </w:r>
      <w:r w:rsidRPr="00B77D4F">
        <w:rPr>
          <w:rFonts w:ascii="Bookman Old Style" w:hAnsi="Bookman Old Style" w:cs="Calibri"/>
          <w:sz w:val="24"/>
          <w:szCs w:val="24"/>
        </w:rPr>
        <w:tab/>
        <w:t>A formalização do termo aditivo é condição para a execução pelo contratado das prestações determinadas pela Administração no curso da execução do contrato, salvo nos casos de justificada necessidade de antecipação de seus efeitos, hipótese em que a formalização deverá ocorrer no prazo máximo de 01 (um) mês.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9.7.</w:t>
      </w:r>
      <w:r w:rsidRPr="00B77D4F">
        <w:rPr>
          <w:rFonts w:ascii="Bookman Old Style" w:hAnsi="Bookman Old Style" w:cs="Calibri"/>
          <w:sz w:val="24"/>
          <w:szCs w:val="24"/>
        </w:rPr>
        <w:tab/>
        <w:t>No caso do disposto do subitem 9.1., a alteração unilateral e o restabelecimento do equilíbrio econômico-financeiro serão formalizados no mesmo termo aditivo.</w:t>
      </w: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Arial"/>
          <w:sz w:val="24"/>
          <w:szCs w:val="24"/>
        </w:rPr>
      </w:pPr>
      <w:r w:rsidRPr="00B77D4F">
        <w:rPr>
          <w:rFonts w:ascii="Bookman Old Style" w:hAnsi="Bookman Old Style" w:cs="Calibri"/>
          <w:b/>
          <w:sz w:val="24"/>
          <w:szCs w:val="24"/>
        </w:rPr>
        <w:t>9.8.</w:t>
      </w:r>
      <w:r w:rsidRPr="00B77D4F">
        <w:rPr>
          <w:rFonts w:ascii="Bookman Old Style" w:hAnsi="Bookman Old Style" w:cs="Calibri"/>
          <w:sz w:val="24"/>
          <w:szCs w:val="24"/>
        </w:rPr>
        <w:tab/>
        <w:t>A extinção do contrato não configurará óbice para o reconhecimento do desequilíbrio econômico-financeiro, hipótese em que será concedida indenização por meio de termo indenizatório.</w:t>
      </w:r>
      <w:r w:rsidRPr="00B77D4F">
        <w:rPr>
          <w:rFonts w:ascii="Bookman Old Style" w:hAnsi="Bookman Old Style" w:cs="Arial"/>
          <w:sz w:val="24"/>
          <w:szCs w:val="24"/>
        </w:rPr>
        <w:t xml:space="preserve"> 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 w:cs="Arial"/>
          <w:sz w:val="24"/>
          <w:szCs w:val="24"/>
        </w:rPr>
      </w:pPr>
    </w:p>
    <w:bookmarkEnd w:id="0"/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>10. DOS RECURSOS ORÇAMENTÁRIOS</w:t>
      </w:r>
    </w:p>
    <w:p w:rsidR="0089416B" w:rsidRPr="00B77D4F" w:rsidRDefault="0089416B" w:rsidP="006C4AE3">
      <w:pPr>
        <w:pStyle w:val="PargrafodaLista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 w:cs="Calibri"/>
          <w:bCs/>
          <w:color w:val="0D0D0D"/>
          <w:sz w:val="24"/>
          <w:szCs w:val="24"/>
        </w:rPr>
        <w:t xml:space="preserve"> Por se tratar de sistema de registro de preço a dotação orçamentária será informada na formalização de contrato decorrente da Ata de Registro de Preço.</w:t>
      </w:r>
    </w:p>
    <w:p w:rsidR="0089416B" w:rsidRPr="00B77D4F" w:rsidRDefault="0089416B" w:rsidP="0089416B">
      <w:pPr>
        <w:pStyle w:val="PargrafodaLista"/>
        <w:widowControl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11. DAS OBRIGAÇÕES DO ÓRGÃO GERENCIADOR, DO CONTRATANTE E CONTRATADO (Detentor da Ata)</w:t>
      </w: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11.1.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Os direitos e obrigações do órgão gerenciador, do detentor da ata e dos órgãos e entidades participantes são aqueles que estão previstos na Ata de Registro de Preço.</w:t>
      </w: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11.2.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Celebrado o contrato em decorrência da ARP, os órgãos e/ou entidades participantes passam a ser designados como “Contratantes” e o detentor da ata como “Contratado”, e estão sujeitos a obrigações descritas na respectiva Ata de Registro de Preços.</w:t>
      </w: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6C4AE3">
      <w:pPr>
        <w:pStyle w:val="PargrafodaLista"/>
        <w:widowControl w:val="0"/>
        <w:autoSpaceDE w:val="0"/>
        <w:autoSpaceDN w:val="0"/>
        <w:spacing w:after="0" w:line="240" w:lineRule="auto"/>
        <w:ind w:left="0"/>
        <w:jc w:val="both"/>
        <w:rPr>
          <w:rFonts w:ascii="Bookman Old Style" w:hAnsi="Bookman Old Style" w:cs="Calibri"/>
          <w:b/>
          <w:bCs/>
          <w:color w:val="0D0D0D"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color w:val="0D0D0D"/>
          <w:sz w:val="24"/>
          <w:szCs w:val="24"/>
        </w:rPr>
        <w:t xml:space="preserve">12.DA ADESÃO À ATA POR “NÃO PARTICIPANTES” </w:t>
      </w: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12.1.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Não será admitida a adesão à Ata de registro de Preço por órgãos e entidades não participantes do procedimento.</w:t>
      </w: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</w:p>
    <w:p w:rsidR="0089416B" w:rsidRPr="00B77D4F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13. DAS INFRAÇÕES E SANÇÕES ADMINISTRATIVAS</w:t>
      </w:r>
    </w:p>
    <w:p w:rsidR="0089416B" w:rsidRDefault="0089416B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  <w:r w:rsidRPr="00B77D4F">
        <w:rPr>
          <w:rFonts w:ascii="Bookman Old Style" w:hAnsi="Bookman Old Style" w:cs="Calibri"/>
          <w:b/>
          <w:bCs/>
          <w:sz w:val="24"/>
          <w:szCs w:val="24"/>
        </w:rPr>
        <w:t>13.1.</w:t>
      </w:r>
      <w:r w:rsidRPr="00B77D4F">
        <w:rPr>
          <w:rFonts w:ascii="Bookman Old Style" w:hAnsi="Bookman Old Style" w:cs="Calibri"/>
          <w:bCs/>
          <w:sz w:val="24"/>
          <w:szCs w:val="24"/>
        </w:rPr>
        <w:t xml:space="preserve"> Comete infração administrativa o fornecedor que infringir as disposições previstas no art. 155 da Lei 14.133, de 2021, conforme estabelecido no Edital e Instrumento Contratual.</w:t>
      </w:r>
    </w:p>
    <w:p w:rsidR="006C4AE3" w:rsidRDefault="006C4AE3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</w:p>
    <w:p w:rsidR="006C4AE3" w:rsidRPr="00B77D4F" w:rsidRDefault="006C4AE3" w:rsidP="006C4AE3">
      <w:pPr>
        <w:widowControl w:val="0"/>
        <w:autoSpaceDE w:val="0"/>
        <w:autoSpaceDN w:val="0"/>
        <w:spacing w:after="0" w:line="240" w:lineRule="auto"/>
        <w:jc w:val="both"/>
        <w:rPr>
          <w:rFonts w:ascii="Bookman Old Style" w:hAnsi="Bookman Old Style" w:cs="Calibri"/>
          <w:bCs/>
          <w:sz w:val="24"/>
          <w:szCs w:val="24"/>
        </w:rPr>
      </w:pPr>
    </w:p>
    <w:p w:rsidR="0089416B" w:rsidRPr="00B77D4F" w:rsidRDefault="0089416B" w:rsidP="0089416B">
      <w:pPr>
        <w:pStyle w:val="Lista5"/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89416B">
      <w:pPr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</w:rPr>
        <w:lastRenderedPageBreak/>
        <w:t>Eugenópolis, 06 de março de 2024.</w:t>
      </w:r>
    </w:p>
    <w:p w:rsidR="0089416B" w:rsidRPr="00B77D4F" w:rsidRDefault="0089416B" w:rsidP="0089416B">
      <w:pPr>
        <w:pStyle w:val="Corpodetexto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</w:rPr>
        <w:t>Elaborado por:</w:t>
      </w:r>
    </w:p>
    <w:p w:rsidR="0089416B" w:rsidRDefault="0089416B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092160" w:rsidRPr="00B77D4F" w:rsidRDefault="00092160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092160">
      <w:pPr>
        <w:spacing w:after="0" w:line="240" w:lineRule="auto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sz w:val="24"/>
          <w:szCs w:val="24"/>
        </w:rPr>
        <w:t>______________________________</w:t>
      </w:r>
    </w:p>
    <w:p w:rsidR="00092160" w:rsidRDefault="0089416B" w:rsidP="00092160">
      <w:pPr>
        <w:spacing w:after="0" w:line="240" w:lineRule="auto"/>
        <w:jc w:val="both"/>
        <w:rPr>
          <w:rFonts w:ascii="Bookman Old Style" w:eastAsia="Calibri" w:hAnsi="Bookman Old Style" w:cs="Calibri"/>
          <w:sz w:val="24"/>
          <w:szCs w:val="24"/>
        </w:rPr>
      </w:pPr>
      <w:r w:rsidRPr="00B77D4F">
        <w:rPr>
          <w:rFonts w:ascii="Bookman Old Style" w:eastAsia="Calibri" w:hAnsi="Bookman Old Style" w:cs="Calibri"/>
          <w:sz w:val="24"/>
          <w:szCs w:val="24"/>
        </w:rPr>
        <w:t>Lucas Gouvêa Carneiro</w:t>
      </w:r>
    </w:p>
    <w:p w:rsidR="0089416B" w:rsidRPr="00B77D4F" w:rsidRDefault="0089416B" w:rsidP="00092160">
      <w:pPr>
        <w:spacing w:after="0" w:line="240" w:lineRule="auto"/>
        <w:jc w:val="both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eastAsia="Calibri" w:hAnsi="Bookman Old Style" w:cs="Calibri"/>
          <w:sz w:val="24"/>
          <w:szCs w:val="24"/>
        </w:rPr>
        <w:t>Chefe de Seção</w:t>
      </w:r>
    </w:p>
    <w:p w:rsidR="0089416B" w:rsidRDefault="0089416B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bookmarkStart w:id="1" w:name="_GoBack"/>
      <w:bookmarkEnd w:id="1"/>
    </w:p>
    <w:p w:rsidR="00092160" w:rsidRPr="00B77D4F" w:rsidRDefault="00092160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</w:rPr>
        <w:t>Aprovado por:</w:t>
      </w:r>
    </w:p>
    <w:p w:rsidR="0089416B" w:rsidRDefault="0089416B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092160" w:rsidRPr="00B77D4F" w:rsidRDefault="00092160" w:rsidP="00092160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89416B" w:rsidRPr="00B77D4F" w:rsidRDefault="0089416B" w:rsidP="00092160">
      <w:pPr>
        <w:spacing w:after="0" w:line="240" w:lineRule="auto"/>
        <w:rPr>
          <w:rFonts w:ascii="Bookman Old Style" w:hAnsi="Bookman Old Style" w:cs="Calibri"/>
          <w:sz w:val="24"/>
          <w:szCs w:val="24"/>
        </w:rPr>
      </w:pPr>
      <w:r w:rsidRPr="00B77D4F">
        <w:rPr>
          <w:rFonts w:ascii="Bookman Old Style" w:hAnsi="Bookman Old Style" w:cs="Calibri"/>
          <w:sz w:val="24"/>
          <w:szCs w:val="24"/>
        </w:rPr>
        <w:t>______________________________</w:t>
      </w:r>
    </w:p>
    <w:p w:rsidR="0089416B" w:rsidRPr="00B77D4F" w:rsidRDefault="0089416B" w:rsidP="00092160">
      <w:pPr>
        <w:pStyle w:val="Corpodetexto"/>
        <w:rPr>
          <w:rFonts w:ascii="Bookman Old Style" w:hAnsi="Bookman Old Style"/>
          <w:sz w:val="24"/>
          <w:szCs w:val="24"/>
          <w:lang w:val="pt-BR" w:eastAsia="pt-BR"/>
        </w:rPr>
      </w:pPr>
      <w:r w:rsidRPr="00B77D4F">
        <w:rPr>
          <w:rFonts w:ascii="Bookman Old Style" w:hAnsi="Bookman Old Style"/>
          <w:sz w:val="24"/>
          <w:szCs w:val="24"/>
          <w:lang w:val="pt-BR" w:eastAsia="pt-BR"/>
        </w:rPr>
        <w:t xml:space="preserve">Marcos </w:t>
      </w:r>
      <w:proofErr w:type="spellStart"/>
      <w:r w:rsidRPr="00B77D4F">
        <w:rPr>
          <w:rFonts w:ascii="Bookman Old Style" w:hAnsi="Bookman Old Style"/>
          <w:sz w:val="24"/>
          <w:szCs w:val="24"/>
          <w:lang w:val="pt-BR" w:eastAsia="pt-BR"/>
        </w:rPr>
        <w:t>Revinotte</w:t>
      </w:r>
      <w:proofErr w:type="spellEnd"/>
      <w:r w:rsidRPr="00B77D4F">
        <w:rPr>
          <w:rFonts w:ascii="Bookman Old Style" w:hAnsi="Bookman Old Style"/>
          <w:sz w:val="24"/>
          <w:szCs w:val="24"/>
          <w:lang w:val="pt-BR" w:eastAsia="pt-BR"/>
        </w:rPr>
        <w:t xml:space="preserve"> da Silva</w:t>
      </w:r>
    </w:p>
    <w:p w:rsidR="0089416B" w:rsidRPr="00B77D4F" w:rsidRDefault="0089416B" w:rsidP="00092160">
      <w:pPr>
        <w:pStyle w:val="Corpodetexto"/>
        <w:rPr>
          <w:rFonts w:ascii="Bookman Old Style" w:hAnsi="Bookman Old Style"/>
          <w:sz w:val="24"/>
          <w:szCs w:val="24"/>
        </w:rPr>
      </w:pPr>
      <w:r w:rsidRPr="00B77D4F">
        <w:rPr>
          <w:rFonts w:ascii="Bookman Old Style" w:hAnsi="Bookman Old Style"/>
          <w:sz w:val="24"/>
          <w:szCs w:val="24"/>
          <w:lang w:val="pt-BR" w:eastAsia="pt-BR"/>
        </w:rPr>
        <w:t>Secretário Municipal de Saúde</w:t>
      </w:r>
    </w:p>
    <w:p w:rsidR="00103CBA" w:rsidRPr="00B77D4F" w:rsidRDefault="00103CBA" w:rsidP="00E2093E">
      <w:pPr>
        <w:rPr>
          <w:rFonts w:ascii="Bookman Old Style" w:hAnsi="Bookman Old Style"/>
          <w:sz w:val="24"/>
          <w:szCs w:val="24"/>
        </w:rPr>
      </w:pPr>
    </w:p>
    <w:sectPr w:rsidR="00103CBA" w:rsidRPr="00B77D4F" w:rsidSect="00B77D4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426" w:right="849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16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6" name="Imagem 6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A856F33"/>
    <w:multiLevelType w:val="hybridMultilevel"/>
    <w:tmpl w:val="888E4FF6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8071DD"/>
    <w:multiLevelType w:val="hybridMultilevel"/>
    <w:tmpl w:val="4652224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8160E"/>
    <w:multiLevelType w:val="multilevel"/>
    <w:tmpl w:val="D44E60CE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297DC9"/>
    <w:multiLevelType w:val="multilevel"/>
    <w:tmpl w:val="5532E0CC"/>
    <w:lvl w:ilvl="0">
      <w:start w:val="10"/>
      <w:numFmt w:val="decimal"/>
      <w:lvlText w:val="%1"/>
      <w:lvlJc w:val="left"/>
      <w:pPr>
        <w:ind w:left="480" w:hanging="480"/>
      </w:pPr>
      <w:rPr>
        <w:rFonts w:cs="Calibri" w:hint="default"/>
        <w:color w:val="0D0D0D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Calibri" w:hint="default"/>
        <w:b/>
        <w:color w:val="0D0D0D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0D0D0D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 w:hint="default"/>
        <w:color w:val="0D0D0D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0D0D0D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 w:hint="default"/>
        <w:color w:val="0D0D0D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color w:val="0D0D0D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 w:hint="default"/>
        <w:color w:val="0D0D0D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Calibri" w:hint="default"/>
        <w:color w:val="0D0D0D"/>
      </w:rPr>
    </w:lvl>
  </w:abstractNum>
  <w:abstractNum w:abstractNumId="16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1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3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5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8"/>
  </w:num>
  <w:num w:numId="7">
    <w:abstractNumId w:val="4"/>
  </w:num>
  <w:num w:numId="8">
    <w:abstractNumId w:val="25"/>
  </w:num>
  <w:num w:numId="9">
    <w:abstractNumId w:val="24"/>
  </w:num>
  <w:num w:numId="10">
    <w:abstractNumId w:val="1"/>
  </w:num>
  <w:num w:numId="11">
    <w:abstractNumId w:val="14"/>
  </w:num>
  <w:num w:numId="12">
    <w:abstractNumId w:val="3"/>
  </w:num>
  <w:num w:numId="13">
    <w:abstractNumId w:val="27"/>
  </w:num>
  <w:num w:numId="14">
    <w:abstractNumId w:val="22"/>
  </w:num>
  <w:num w:numId="15">
    <w:abstractNumId w:val="23"/>
  </w:num>
  <w:num w:numId="16">
    <w:abstractNumId w:val="9"/>
  </w:num>
  <w:num w:numId="17">
    <w:abstractNumId w:val="8"/>
  </w:num>
  <w:num w:numId="18">
    <w:abstractNumId w:val="5"/>
  </w:num>
  <w:num w:numId="19">
    <w:abstractNumId w:val="26"/>
  </w:num>
  <w:num w:numId="20">
    <w:abstractNumId w:val="18"/>
  </w:num>
  <w:num w:numId="21">
    <w:abstractNumId w:val="29"/>
  </w:num>
  <w:num w:numId="22">
    <w:abstractNumId w:val="13"/>
  </w:num>
  <w:num w:numId="23">
    <w:abstractNumId w:val="17"/>
  </w:num>
  <w:num w:numId="24">
    <w:abstractNumId w:val="6"/>
  </w:num>
  <w:num w:numId="25">
    <w:abstractNumId w:val="20"/>
  </w:num>
  <w:num w:numId="26">
    <w:abstractNumId w:val="19"/>
  </w:num>
  <w:num w:numId="27">
    <w:abstractNumId w:val="11"/>
  </w:num>
  <w:num w:numId="28">
    <w:abstractNumId w:val="7"/>
  </w:num>
  <w:num w:numId="29">
    <w:abstractNumId w:val="12"/>
  </w:num>
  <w:num w:numId="30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160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4AE3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9416B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1D81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5561D"/>
    <w:rsid w:val="00B6105B"/>
    <w:rsid w:val="00B6715E"/>
    <w:rsid w:val="00B67592"/>
    <w:rsid w:val="00B72566"/>
    <w:rsid w:val="00B76D3F"/>
    <w:rsid w:val="00B77D4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2093E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194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1C4FD7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paragraph" w:styleId="Lista">
    <w:name w:val="List"/>
    <w:basedOn w:val="Normal"/>
    <w:uiPriority w:val="99"/>
    <w:unhideWhenUsed/>
    <w:rsid w:val="0089416B"/>
    <w:pPr>
      <w:ind w:left="283" w:hanging="283"/>
      <w:contextualSpacing/>
    </w:pPr>
    <w:rPr>
      <w:rFonts w:ascii="Calibri" w:eastAsia="Calibri" w:hAnsi="Calibri" w:cs="Times New Roman"/>
    </w:rPr>
  </w:style>
  <w:style w:type="paragraph" w:styleId="Lista2">
    <w:name w:val="List 2"/>
    <w:basedOn w:val="Normal"/>
    <w:uiPriority w:val="99"/>
    <w:unhideWhenUsed/>
    <w:rsid w:val="0089416B"/>
    <w:pPr>
      <w:ind w:left="566" w:hanging="283"/>
      <w:contextualSpacing/>
    </w:pPr>
    <w:rPr>
      <w:rFonts w:ascii="Calibri" w:eastAsia="Calibri" w:hAnsi="Calibri" w:cs="Times New Roman"/>
    </w:rPr>
  </w:style>
  <w:style w:type="paragraph" w:styleId="Lista3">
    <w:name w:val="List 3"/>
    <w:basedOn w:val="Normal"/>
    <w:uiPriority w:val="99"/>
    <w:unhideWhenUsed/>
    <w:rsid w:val="0089416B"/>
    <w:pPr>
      <w:ind w:left="849" w:hanging="283"/>
      <w:contextualSpacing/>
    </w:pPr>
    <w:rPr>
      <w:rFonts w:ascii="Calibri" w:eastAsia="Calibri" w:hAnsi="Calibri" w:cs="Times New Roman"/>
    </w:rPr>
  </w:style>
  <w:style w:type="paragraph" w:styleId="Lista4">
    <w:name w:val="List 4"/>
    <w:basedOn w:val="Normal"/>
    <w:uiPriority w:val="99"/>
    <w:unhideWhenUsed/>
    <w:rsid w:val="0089416B"/>
    <w:pPr>
      <w:ind w:left="1132" w:hanging="283"/>
      <w:contextualSpacing/>
    </w:pPr>
    <w:rPr>
      <w:rFonts w:ascii="Calibri" w:eastAsia="Calibri" w:hAnsi="Calibri" w:cs="Times New Roman"/>
    </w:rPr>
  </w:style>
  <w:style w:type="paragraph" w:styleId="Lista5">
    <w:name w:val="List 5"/>
    <w:basedOn w:val="Normal"/>
    <w:uiPriority w:val="99"/>
    <w:unhideWhenUsed/>
    <w:rsid w:val="0089416B"/>
    <w:pPr>
      <w:ind w:left="1415" w:hanging="283"/>
      <w:contextualSpacing/>
    </w:pPr>
    <w:rPr>
      <w:rFonts w:ascii="Calibri" w:eastAsia="Calibri" w:hAnsi="Calibri" w:cs="Times New Roman"/>
    </w:rPr>
  </w:style>
  <w:style w:type="paragraph" w:styleId="Listadecontinuao3">
    <w:name w:val="List Continue 3"/>
    <w:basedOn w:val="Normal"/>
    <w:uiPriority w:val="99"/>
    <w:unhideWhenUsed/>
    <w:rsid w:val="0089416B"/>
    <w:pPr>
      <w:spacing w:after="120"/>
      <w:ind w:left="849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1/lei/l14133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397FF-55EA-46BB-8C79-CD7E7756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19</Pages>
  <Words>5731</Words>
  <Characters>30948</Characters>
  <Application>Microsoft Office Word</Application>
  <DocSecurity>0</DocSecurity>
  <Lines>257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67</cp:revision>
  <cp:lastPrinted>2024-03-21T16:55:00Z</cp:lastPrinted>
  <dcterms:created xsi:type="dcterms:W3CDTF">2024-03-21T15:42:00Z</dcterms:created>
  <dcterms:modified xsi:type="dcterms:W3CDTF">2024-03-25T18:04:00Z</dcterms:modified>
</cp:coreProperties>
</file>